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CA4" w:rsidRPr="00B90911" w:rsidRDefault="00F95CA4" w:rsidP="00F95CA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24"/>
          <w:szCs w:val="18"/>
          <w:lang w:eastAsia="es-ES"/>
        </w:rPr>
        <w:t>ANEXO</w:t>
      </w:r>
      <w:r w:rsidR="001F51E4" w:rsidRPr="00B90911">
        <w:rPr>
          <w:rFonts w:ascii="Arial" w:eastAsia="Times New Roman" w:hAnsi="Arial" w:cs="Arial"/>
          <w:b/>
          <w:sz w:val="24"/>
          <w:szCs w:val="18"/>
          <w:lang w:eastAsia="es-ES"/>
        </w:rPr>
        <w:t xml:space="preserve"> </w:t>
      </w:r>
      <w:r w:rsidR="0045373E" w:rsidRPr="00B90911">
        <w:rPr>
          <w:rFonts w:ascii="Arial" w:eastAsia="Times New Roman" w:hAnsi="Arial" w:cs="Arial"/>
          <w:b/>
          <w:sz w:val="24"/>
          <w:szCs w:val="18"/>
          <w:lang w:eastAsia="es-ES"/>
        </w:rPr>
        <w:t>C</w:t>
      </w:r>
    </w:p>
    <w:p w:rsidR="00F95CA4" w:rsidRPr="00B90911" w:rsidRDefault="00F95CA4" w:rsidP="00F95CA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24"/>
          <w:szCs w:val="18"/>
          <w:lang w:eastAsia="es-ES"/>
        </w:rPr>
        <w:t xml:space="preserve">REQUERIMIENTO DE PROTECCIÓN CONTRA INCENDIOS PARA </w:t>
      </w:r>
      <w:r w:rsidR="00385F41" w:rsidRPr="00B90911">
        <w:rPr>
          <w:rFonts w:ascii="Arial" w:eastAsia="Times New Roman" w:hAnsi="Arial" w:cs="Arial"/>
          <w:b/>
          <w:sz w:val="24"/>
          <w:szCs w:val="18"/>
          <w:lang w:eastAsia="es-ES"/>
        </w:rPr>
        <w:t>EL ALMACENAMIENTO</w:t>
      </w:r>
      <w:r w:rsidRPr="00B90911">
        <w:rPr>
          <w:rFonts w:ascii="Arial" w:eastAsia="Times New Roman" w:hAnsi="Arial" w:cs="Arial"/>
          <w:b/>
          <w:sz w:val="24"/>
          <w:szCs w:val="18"/>
          <w:lang w:eastAsia="es-ES"/>
        </w:rPr>
        <w:t xml:space="preserve"> DE LUBRICANTES TERMINADOS</w:t>
      </w:r>
    </w:p>
    <w:p w:rsidR="00B90911" w:rsidRPr="00B90911" w:rsidRDefault="00B90911" w:rsidP="00F95C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18"/>
          <w:lang w:eastAsia="es-ES"/>
        </w:rPr>
      </w:pPr>
    </w:p>
    <w:p w:rsidR="00F95CA4" w:rsidRPr="00B90911" w:rsidRDefault="00F95CA4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eastAsia="es-ES"/>
        </w:rPr>
        <w:t>OBJETIVO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F95CA4">
        <w:rPr>
          <w:rFonts w:ascii="Arial" w:eastAsia="Times New Roman" w:hAnsi="Arial" w:cs="Arial"/>
          <w:sz w:val="18"/>
          <w:szCs w:val="18"/>
          <w:lang w:eastAsia="es-ES"/>
        </w:rPr>
        <w:t xml:space="preserve">EL presente documento tiene como objeto presentar los principales requerimientos de protección contra incendios para el almacenamiento de los Lubricantes Terminados YPFB </w:t>
      </w:r>
      <w:r w:rsidR="0090214D">
        <w:rPr>
          <w:rFonts w:ascii="Arial" w:eastAsia="Times New Roman" w:hAnsi="Arial" w:cs="Arial"/>
          <w:sz w:val="18"/>
          <w:szCs w:val="18"/>
          <w:lang w:eastAsia="es-ES"/>
        </w:rPr>
        <w:t>en instalaciones de Distribuidores Mayoristas</w:t>
      </w:r>
      <w:r w:rsidRPr="00F95CA4">
        <w:rPr>
          <w:rFonts w:ascii="Arial" w:eastAsia="Times New Roman" w:hAnsi="Arial" w:cs="Arial"/>
          <w:sz w:val="18"/>
          <w:szCs w:val="18"/>
          <w:lang w:eastAsia="es-ES"/>
        </w:rPr>
        <w:t>.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F95CA4" w:rsidRPr="00B90911" w:rsidRDefault="00F95CA4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eastAsia="es-ES"/>
        </w:rPr>
        <w:t>ALCANCE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F95CA4">
        <w:rPr>
          <w:rFonts w:ascii="Arial" w:eastAsia="Times New Roman" w:hAnsi="Arial" w:cs="Arial"/>
          <w:sz w:val="18"/>
          <w:szCs w:val="18"/>
          <w:lang w:eastAsia="es-ES"/>
        </w:rPr>
        <w:t xml:space="preserve">Los presentes requerimientos aplican para el almacenamiento de líquidos combustibles clase </w:t>
      </w:r>
      <w:r w:rsidR="001B1CE7" w:rsidRPr="00F95CA4">
        <w:rPr>
          <w:rFonts w:ascii="Arial" w:eastAsia="Times New Roman" w:hAnsi="Arial" w:cs="Arial"/>
          <w:sz w:val="18"/>
          <w:szCs w:val="18"/>
          <w:lang w:eastAsia="es-ES"/>
        </w:rPr>
        <w:t>IIIB en</w:t>
      </w:r>
      <w:r w:rsidRPr="00F95CA4">
        <w:rPr>
          <w:rFonts w:ascii="Arial" w:eastAsia="Times New Roman" w:hAnsi="Arial" w:cs="Arial"/>
          <w:sz w:val="18"/>
          <w:szCs w:val="18"/>
          <w:lang w:eastAsia="es-ES"/>
        </w:rPr>
        <w:t xml:space="preserve"> ocupaciones de almacenamiento en las cuáles no se almacenen otro tipo de líquidos.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F95CA4" w:rsidRPr="00B90911" w:rsidRDefault="00F95CA4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eastAsia="es-ES"/>
        </w:rPr>
        <w:t>DEFINICIONES Y ABREVIACIONES</w:t>
      </w:r>
    </w:p>
    <w:p w:rsidR="00F95CA4" w:rsidRPr="00F95CA4" w:rsidRDefault="00F95CA4" w:rsidP="00F95CA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</w:p>
    <w:p w:rsidR="00F95CA4" w:rsidRPr="0090214D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90214D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NFPA: </w:t>
      </w:r>
      <w:proofErr w:type="spellStart"/>
      <w:r w:rsidRPr="0090214D">
        <w:rPr>
          <w:rFonts w:ascii="Arial" w:eastAsia="Times New Roman" w:hAnsi="Arial" w:cs="Arial"/>
          <w:sz w:val="18"/>
          <w:szCs w:val="18"/>
          <w:lang w:eastAsia="es-ES"/>
        </w:rPr>
        <w:t>National</w:t>
      </w:r>
      <w:proofErr w:type="spellEnd"/>
      <w:r w:rsidRPr="0090214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90214D">
        <w:rPr>
          <w:rFonts w:ascii="Arial" w:eastAsia="Times New Roman" w:hAnsi="Arial" w:cs="Arial"/>
          <w:sz w:val="18"/>
          <w:szCs w:val="18"/>
          <w:lang w:eastAsia="es-ES"/>
        </w:rPr>
        <w:t>Fire</w:t>
      </w:r>
      <w:proofErr w:type="spellEnd"/>
      <w:r w:rsidRPr="0090214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90214D">
        <w:rPr>
          <w:rFonts w:ascii="Arial" w:eastAsia="Times New Roman" w:hAnsi="Arial" w:cs="Arial"/>
          <w:sz w:val="18"/>
          <w:szCs w:val="18"/>
          <w:lang w:eastAsia="es-ES"/>
        </w:rPr>
        <w:t>Protection</w:t>
      </w:r>
      <w:proofErr w:type="spellEnd"/>
      <w:r w:rsidRPr="0090214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proofErr w:type="spellStart"/>
      <w:r w:rsidRPr="0090214D">
        <w:rPr>
          <w:rFonts w:ascii="Arial" w:eastAsia="Times New Roman" w:hAnsi="Arial" w:cs="Arial"/>
          <w:sz w:val="18"/>
          <w:szCs w:val="18"/>
          <w:lang w:eastAsia="es-ES"/>
        </w:rPr>
        <w:t>Association</w:t>
      </w:r>
      <w:proofErr w:type="spellEnd"/>
      <w:r w:rsidRPr="0090214D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</w:t>
      </w:r>
    </w:p>
    <w:p w:rsidR="00F95CA4" w:rsidRPr="0090214D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eastAsia="es-ES"/>
        </w:rPr>
        <w:t>Cantidad Máxima Permisible (</w:t>
      </w:r>
      <w:r w:rsidRPr="00F95CA4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MAQ):</w:t>
      </w:r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 xml:space="preserve"> Cantidad de líquido </w:t>
      </w:r>
      <w:r w:rsidR="001B1CE7"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>inflamable y</w:t>
      </w:r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>/o combustible permitida en un Área de Control</w:t>
      </w:r>
    </w:p>
    <w:p w:rsidR="00F95CA4" w:rsidRPr="00F95CA4" w:rsidRDefault="00F95CA4" w:rsidP="00F95CA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Área de Control:</w:t>
      </w:r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 xml:space="preserve"> Es el espacio dentro de un edificio donde se almacenan cantidades de líquidos que no exceden las Cantidades Máximas Permisibles (</w:t>
      </w:r>
      <w:proofErr w:type="spellStart"/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>MAQs</w:t>
      </w:r>
      <w:proofErr w:type="spellEnd"/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>). Las áreas de control deben estar separadas entre sí por barreras contra incendios de acuerdo especificaciones de NFPA 30.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</w:p>
    <w:p w:rsidR="0090214D" w:rsidRDefault="0090214D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AR" w:eastAsia="es-ES"/>
        </w:rPr>
      </w:pPr>
      <w:r>
        <w:rPr>
          <w:rFonts w:ascii="Arial" w:eastAsia="Times New Roman" w:hAnsi="Arial" w:cs="Arial"/>
          <w:b/>
          <w:sz w:val="18"/>
          <w:szCs w:val="18"/>
          <w:lang w:val="es-AR" w:eastAsia="es-ES"/>
        </w:rPr>
        <w:t xml:space="preserve">Distancia de recorrido: </w:t>
      </w:r>
      <w:r w:rsidRPr="0090214D">
        <w:rPr>
          <w:rFonts w:ascii="Arial" w:eastAsia="Times New Roman" w:hAnsi="Arial" w:cs="Arial"/>
          <w:sz w:val="18"/>
          <w:szCs w:val="18"/>
          <w:lang w:val="es-AR" w:eastAsia="es-ES"/>
        </w:rPr>
        <w:t>Distancia máxima en metros que una persona debe recorrer desde cualquier lugar de una instalación hacia el extintor más cercano.</w:t>
      </w:r>
    </w:p>
    <w:p w:rsidR="0090214D" w:rsidRDefault="0090214D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AR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val="es-AR" w:eastAsia="es-ES"/>
        </w:rPr>
        <w:t>Potencial Extintor:</w:t>
      </w:r>
      <w:r w:rsidRPr="00F95CA4">
        <w:rPr>
          <w:rFonts w:ascii="Arial" w:eastAsia="Times New Roman" w:hAnsi="Arial" w:cs="Arial"/>
          <w:sz w:val="18"/>
          <w:szCs w:val="18"/>
          <w:lang w:val="es-AR" w:eastAsia="es-ES"/>
        </w:rPr>
        <w:t xml:space="preserve"> Los extintores se clasifican según su potencial </w:t>
      </w:r>
      <w:r w:rsidR="001B1CE7" w:rsidRPr="00F95CA4">
        <w:rPr>
          <w:rFonts w:ascii="Arial" w:eastAsia="Times New Roman" w:hAnsi="Arial" w:cs="Arial"/>
          <w:sz w:val="18"/>
          <w:szCs w:val="18"/>
          <w:lang w:val="es-AR" w:eastAsia="es-ES"/>
        </w:rPr>
        <w:t>extintor asignándoles</w:t>
      </w:r>
      <w:r w:rsidRPr="00F95CA4">
        <w:rPr>
          <w:rFonts w:ascii="Arial" w:eastAsia="Times New Roman" w:hAnsi="Arial" w:cs="Arial"/>
          <w:sz w:val="18"/>
          <w:szCs w:val="18"/>
          <w:lang w:val="es-AR" w:eastAsia="es-ES"/>
        </w:rPr>
        <w:t xml:space="preserve"> una notación e identificación consistente en </w:t>
      </w:r>
      <w:r w:rsidRPr="00F95CA4">
        <w:rPr>
          <w:rFonts w:ascii="Arial" w:eastAsia="Times New Roman" w:hAnsi="Arial" w:cs="Arial"/>
          <w:b/>
          <w:bCs/>
          <w:sz w:val="18"/>
          <w:szCs w:val="18"/>
          <w:lang w:val="es-AR" w:eastAsia="es-ES"/>
        </w:rPr>
        <w:t>un número seguido de una letra</w:t>
      </w:r>
      <w:r w:rsidRPr="00F95CA4">
        <w:rPr>
          <w:rFonts w:ascii="Arial" w:eastAsia="Times New Roman" w:hAnsi="Arial" w:cs="Arial"/>
          <w:sz w:val="18"/>
          <w:szCs w:val="18"/>
          <w:lang w:val="es-AR" w:eastAsia="es-ES"/>
        </w:rPr>
        <w:t xml:space="preserve">. El número indica la capacidad relativa de extinción para la clase de fuego identificada por la letra. 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B90911" w:rsidRDefault="00F95CA4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eastAsia="es-ES"/>
        </w:rPr>
        <w:t>RECOMENDACIONES DE SEGURIDAD PARA EL ALMACENAMIENTO DE LUBRICANTES TERMINADOS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F95CA4" w:rsidRDefault="00F95CA4" w:rsidP="00B90911">
      <w:pPr>
        <w:pStyle w:val="Prrafodelista"/>
        <w:numPr>
          <w:ilvl w:val="1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eastAsia="es-ES"/>
        </w:rPr>
        <w:t>Generalidades</w:t>
      </w:r>
    </w:p>
    <w:p w:rsidR="00B90911" w:rsidRPr="00B90911" w:rsidRDefault="00B90911" w:rsidP="00B90911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F95CA4" w:rsidRPr="00B90911" w:rsidRDefault="00F95CA4" w:rsidP="00F95CA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F95CA4">
        <w:rPr>
          <w:rFonts w:ascii="Arial" w:eastAsia="Times New Roman" w:hAnsi="Arial" w:cs="Arial"/>
          <w:sz w:val="18"/>
          <w:szCs w:val="18"/>
          <w:lang w:eastAsia="es-ES"/>
        </w:rPr>
        <w:t>Está permitido el almacenamiento de lubricantes terminados en sótanos</w:t>
      </w:r>
      <w:r w:rsidRPr="00F95CA4">
        <w:rPr>
          <w:rFonts w:ascii="Arial" w:eastAsia="Times New Roman" w:hAnsi="Arial" w:cs="Arial"/>
          <w:sz w:val="18"/>
          <w:szCs w:val="18"/>
          <w:vertAlign w:val="superscript"/>
          <w:lang w:eastAsia="es-ES"/>
        </w:rPr>
        <w:footnoteReference w:id="1"/>
      </w:r>
      <w:r w:rsidR="00B90911">
        <w:rPr>
          <w:rFonts w:ascii="Arial" w:eastAsia="Times New Roman" w:hAnsi="Arial" w:cs="Arial"/>
          <w:sz w:val="18"/>
          <w:szCs w:val="18"/>
          <w:lang w:eastAsia="es-ES"/>
        </w:rPr>
        <w:t>.</w:t>
      </w:r>
    </w:p>
    <w:p w:rsidR="00F95CA4" w:rsidRPr="00B90911" w:rsidRDefault="00F95CA4" w:rsidP="00F95CA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F95CA4">
        <w:rPr>
          <w:rFonts w:ascii="Arial" w:eastAsia="Times New Roman" w:hAnsi="Arial" w:cs="Arial"/>
          <w:sz w:val="18"/>
          <w:szCs w:val="18"/>
          <w:lang w:eastAsia="es-ES"/>
        </w:rPr>
        <w:t xml:space="preserve">No se debe almacenar productos a menos de </w:t>
      </w:r>
      <w:smartTag w:uri="urn:schemas-microsoft-com:office:smarttags" w:element="metricconverter">
        <w:smartTagPr>
          <w:attr w:name="ProductID" w:val="915 mm"/>
        </w:smartTagPr>
        <w:r w:rsidRPr="00F95CA4">
          <w:rPr>
            <w:rFonts w:ascii="Arial" w:eastAsia="Times New Roman" w:hAnsi="Arial" w:cs="Arial"/>
            <w:sz w:val="18"/>
            <w:szCs w:val="18"/>
            <w:lang w:eastAsia="es-ES"/>
          </w:rPr>
          <w:t>915 mm</w:t>
        </w:r>
      </w:smartTag>
      <w:r w:rsidRPr="00F95CA4">
        <w:rPr>
          <w:rFonts w:ascii="Arial" w:eastAsia="Times New Roman" w:hAnsi="Arial" w:cs="Arial"/>
          <w:sz w:val="18"/>
          <w:szCs w:val="18"/>
          <w:lang w:eastAsia="es-ES"/>
        </w:rPr>
        <w:t xml:space="preserve"> de la viga más cercana u otro elemento estructural del techo</w:t>
      </w:r>
      <w:r w:rsidRPr="00F95CA4">
        <w:rPr>
          <w:rFonts w:ascii="Arial" w:eastAsia="Times New Roman" w:hAnsi="Arial" w:cs="Arial"/>
          <w:sz w:val="18"/>
          <w:szCs w:val="18"/>
          <w:vertAlign w:val="superscript"/>
          <w:lang w:eastAsia="es-ES"/>
        </w:rPr>
        <w:footnoteReference w:id="2"/>
      </w:r>
      <w:r w:rsidRPr="00F95CA4">
        <w:rPr>
          <w:rFonts w:ascii="Arial" w:eastAsia="Times New Roman" w:hAnsi="Arial" w:cs="Arial"/>
          <w:sz w:val="18"/>
          <w:szCs w:val="18"/>
          <w:lang w:eastAsia="es-ES"/>
        </w:rPr>
        <w:t xml:space="preserve"> (con el objetivo de tener buena ventilación)</w:t>
      </w:r>
    </w:p>
    <w:p w:rsidR="00B90911" w:rsidRPr="00B90911" w:rsidRDefault="00F95CA4" w:rsidP="00B90911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F95CA4">
        <w:rPr>
          <w:rFonts w:ascii="Arial" w:eastAsia="Times New Roman" w:hAnsi="Arial" w:cs="Arial"/>
          <w:sz w:val="18"/>
          <w:szCs w:val="18"/>
          <w:lang w:eastAsia="es-ES"/>
        </w:rPr>
        <w:t>El almacenamiento de</w:t>
      </w:r>
      <w:r w:rsidR="0098755C">
        <w:rPr>
          <w:rFonts w:ascii="Arial" w:eastAsia="Times New Roman" w:hAnsi="Arial" w:cs="Arial"/>
          <w:sz w:val="18"/>
          <w:szCs w:val="18"/>
          <w:lang w:eastAsia="es-ES"/>
        </w:rPr>
        <w:t xml:space="preserve"> lubricantes terminados </w:t>
      </w:r>
      <w:r w:rsidRPr="00F95CA4">
        <w:rPr>
          <w:rFonts w:ascii="Arial" w:eastAsia="Times New Roman" w:hAnsi="Arial" w:cs="Arial"/>
          <w:sz w:val="18"/>
          <w:szCs w:val="18"/>
          <w:lang w:eastAsia="es-ES"/>
        </w:rPr>
        <w:t>no debe obstruir ningún medio de salida.</w:t>
      </w:r>
    </w:p>
    <w:p w:rsidR="00B90911" w:rsidRPr="00B90911" w:rsidRDefault="0098755C" w:rsidP="00B90911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90214D">
        <w:rPr>
          <w:rFonts w:ascii="Arial" w:eastAsia="Times New Roman" w:hAnsi="Arial" w:cs="Arial"/>
          <w:sz w:val="18"/>
          <w:szCs w:val="18"/>
          <w:lang w:eastAsia="es-ES"/>
        </w:rPr>
        <w:t>El almacenamiento de lubricantes terminados no debe obstruir el acceso a un extintor</w:t>
      </w:r>
      <w:r w:rsidR="00B90911">
        <w:rPr>
          <w:rFonts w:ascii="Arial" w:eastAsia="Times New Roman" w:hAnsi="Arial" w:cs="Arial"/>
          <w:sz w:val="18"/>
          <w:szCs w:val="18"/>
          <w:lang w:eastAsia="es-ES"/>
        </w:rPr>
        <w:t>.</w:t>
      </w:r>
    </w:p>
    <w:p w:rsidR="00B90911" w:rsidRDefault="0098755C" w:rsidP="00F95CA4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  <w:r w:rsidRPr="0090214D">
        <w:rPr>
          <w:rFonts w:ascii="Arial" w:eastAsia="Times New Roman" w:hAnsi="Arial" w:cs="Arial"/>
          <w:sz w:val="18"/>
          <w:szCs w:val="18"/>
          <w:lang w:eastAsia="es-ES"/>
        </w:rPr>
        <w:t xml:space="preserve">Se debe pintar en el suelo del almacén o recinto donde se almacenará los lubricantes terminados el </w:t>
      </w:r>
      <w:r w:rsidRPr="0090214D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lay </w:t>
      </w:r>
      <w:proofErr w:type="spellStart"/>
      <w:r w:rsidRPr="0090214D">
        <w:rPr>
          <w:rFonts w:ascii="Arial" w:eastAsia="Times New Roman" w:hAnsi="Arial" w:cs="Arial"/>
          <w:b/>
          <w:sz w:val="18"/>
          <w:szCs w:val="18"/>
          <w:lang w:eastAsia="es-ES"/>
        </w:rPr>
        <w:t>out</w:t>
      </w:r>
      <w:proofErr w:type="spellEnd"/>
      <w:r w:rsidRPr="0090214D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90214D">
        <w:rPr>
          <w:rFonts w:ascii="Arial" w:eastAsia="Times New Roman" w:hAnsi="Arial" w:cs="Arial"/>
          <w:b/>
          <w:sz w:val="18"/>
          <w:szCs w:val="18"/>
          <w:lang w:eastAsia="es-ES"/>
        </w:rPr>
        <w:t>de almacenaje</w:t>
      </w:r>
      <w:r w:rsidRPr="0090214D">
        <w:rPr>
          <w:rFonts w:ascii="Arial" w:eastAsia="Times New Roman" w:hAnsi="Arial" w:cs="Arial"/>
          <w:sz w:val="18"/>
          <w:szCs w:val="18"/>
          <w:lang w:eastAsia="es-ES"/>
        </w:rPr>
        <w:t xml:space="preserve"> de acuerdo al acápite 4.2 distribución de almacenamiento.</w:t>
      </w:r>
    </w:p>
    <w:p w:rsidR="00B90911" w:rsidRPr="00B90911" w:rsidRDefault="00B90911" w:rsidP="00B90911">
      <w:pPr>
        <w:spacing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es-ES"/>
        </w:rPr>
      </w:pPr>
    </w:p>
    <w:p w:rsidR="00F95CA4" w:rsidRPr="00B90911" w:rsidRDefault="00F95CA4" w:rsidP="00B90911">
      <w:pPr>
        <w:pStyle w:val="Prrafodelista"/>
        <w:numPr>
          <w:ilvl w:val="1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B90911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Distribución de Almacenamiento</w:t>
      </w:r>
    </w:p>
    <w:p w:rsidR="00B90911" w:rsidRPr="00F95CA4" w:rsidRDefault="00B90911" w:rsidP="00F95CA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:rsidR="00F95CA4" w:rsidRPr="00F95CA4" w:rsidRDefault="00F95CA4" w:rsidP="00F95CA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>El almacenamiento en estibas sólidas y en pallets debe proveerse con pasillos dispuestos de manera que ningún recipiente esté a más de 6m. de un pasillo</w:t>
      </w:r>
      <w:r w:rsidRPr="00F95CA4">
        <w:rPr>
          <w:rFonts w:ascii="Arial" w:eastAsia="Times New Roman" w:hAnsi="Arial" w:cs="Arial"/>
          <w:bCs/>
          <w:sz w:val="18"/>
          <w:szCs w:val="18"/>
          <w:vertAlign w:val="superscript"/>
          <w:lang w:val="es-ES" w:eastAsia="es-ES"/>
        </w:rPr>
        <w:footnoteReference w:id="3"/>
      </w:r>
    </w:p>
    <w:p w:rsidR="00F95CA4" w:rsidRPr="00F95CA4" w:rsidRDefault="00F95CA4" w:rsidP="00F95CA4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 xml:space="preserve">Los pasillos deben tener un mínimo de 1,2 entre pilas adyacentes y los pasillo principales deben tener un ancho mínimo de </w:t>
      </w:r>
      <w:smartTag w:uri="urn:schemas-microsoft-com:office:smarttags" w:element="metricconverter">
        <w:smartTagPr>
          <w:attr w:name="ProductID" w:val="2.4 m"/>
        </w:smartTagPr>
        <w:r w:rsidRPr="00F95CA4">
          <w:rPr>
            <w:rFonts w:ascii="Arial" w:eastAsia="Times New Roman" w:hAnsi="Arial" w:cs="Arial"/>
            <w:bCs/>
            <w:sz w:val="18"/>
            <w:szCs w:val="18"/>
            <w:lang w:val="es-ES" w:eastAsia="es-ES"/>
          </w:rPr>
          <w:t>2.4 m</w:t>
        </w:r>
      </w:smartTag>
      <w:r w:rsidRPr="00F95CA4">
        <w:rPr>
          <w:rFonts w:ascii="Arial" w:eastAsia="Times New Roman" w:hAnsi="Arial" w:cs="Arial"/>
          <w:bCs/>
          <w:sz w:val="18"/>
          <w:szCs w:val="18"/>
          <w:lang w:val="es-ES" w:eastAsia="es-ES"/>
        </w:rPr>
        <w:t>.</w:t>
      </w:r>
      <w:r w:rsidRPr="00F95CA4">
        <w:rPr>
          <w:rFonts w:ascii="Arial" w:eastAsia="Times New Roman" w:hAnsi="Arial" w:cs="Arial"/>
          <w:bCs/>
          <w:sz w:val="18"/>
          <w:szCs w:val="18"/>
          <w:vertAlign w:val="superscript"/>
          <w:lang w:val="es-ES" w:eastAsia="es-ES"/>
        </w:rPr>
        <w:footnoteReference w:id="4"/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Cs/>
          <w:noProof/>
          <w:sz w:val="18"/>
          <w:szCs w:val="18"/>
          <w:lang w:eastAsia="es-BO"/>
        </w:rPr>
        <w:lastRenderedPageBreak/>
        <w:drawing>
          <wp:inline distT="0" distB="0" distL="0" distR="0" wp14:anchorId="051D5609" wp14:editId="517A4979">
            <wp:extent cx="5633085" cy="21672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216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5CA4" w:rsidRPr="00F95CA4" w:rsidRDefault="00F95CA4" w:rsidP="00F95CA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18"/>
          <w:szCs w:val="18"/>
          <w:lang w:val="es-ES" w:eastAsia="es-ES"/>
        </w:rPr>
      </w:pPr>
    </w:p>
    <w:p w:rsidR="00F95CA4" w:rsidRDefault="00F95CA4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eastAsia="es-ES"/>
        </w:rPr>
        <w:t>SISTEMAS DE PROTECCIÓN CONTRA INCENDIOS</w:t>
      </w:r>
    </w:p>
    <w:p w:rsidR="00B90911" w:rsidRDefault="00B90911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es-ES"/>
        </w:rPr>
      </w:pPr>
    </w:p>
    <w:p w:rsidR="00F95CA4" w:rsidRPr="00B90911" w:rsidRDefault="00F95CA4" w:rsidP="00B90911">
      <w:pPr>
        <w:pStyle w:val="Prrafodelista"/>
        <w:numPr>
          <w:ilvl w:val="1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B90911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Protección manual contra incendios</w:t>
      </w:r>
    </w:p>
    <w:p w:rsidR="00F95CA4" w:rsidRPr="00F95CA4" w:rsidRDefault="00F95CA4" w:rsidP="00F95CA4">
      <w:pPr>
        <w:spacing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F95CA4" w:rsidRDefault="00F95CA4" w:rsidP="00B90911">
      <w:pPr>
        <w:spacing w:after="0" w:line="240" w:lineRule="auto"/>
        <w:ind w:right="-376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Se deben proveer extintores de incendio portátiles de acuerdo a </w:t>
      </w:r>
      <w:r w:rsidR="0085528E">
        <w:rPr>
          <w:rFonts w:ascii="Arial" w:eastAsia="Times New Roman" w:hAnsi="Arial" w:cs="Arial"/>
          <w:sz w:val="18"/>
          <w:szCs w:val="18"/>
          <w:lang w:val="es-ES" w:eastAsia="es-ES"/>
        </w:rPr>
        <w:t xml:space="preserve">la </w:t>
      </w:r>
      <w:r w:rsidR="00B90911">
        <w:rPr>
          <w:rFonts w:ascii="Arial" w:eastAsia="Times New Roman" w:hAnsi="Arial" w:cs="Arial"/>
          <w:sz w:val="18"/>
          <w:szCs w:val="18"/>
          <w:lang w:val="es-ES" w:eastAsia="es-ES"/>
        </w:rPr>
        <w:t xml:space="preserve">NB 58002:2010 o NFPA 10 y 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adicionalmente cumplir con los siguientes requisitos:</w:t>
      </w:r>
    </w:p>
    <w:p w:rsidR="00F95CA4" w:rsidRPr="00F95CA4" w:rsidRDefault="00F95CA4" w:rsidP="0085528E">
      <w:pPr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B90911" w:rsidRDefault="00F95CA4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Debe situarse por lo menos un extintor portátil con una capacidad no </w:t>
      </w:r>
      <w:r w:rsidRPr="0090214D">
        <w:rPr>
          <w:rFonts w:ascii="Arial" w:eastAsia="Times New Roman" w:hAnsi="Arial" w:cs="Arial"/>
          <w:sz w:val="18"/>
          <w:szCs w:val="18"/>
          <w:lang w:val="es-ES" w:eastAsia="es-ES"/>
        </w:rPr>
        <w:t xml:space="preserve">menor a </w:t>
      </w:r>
      <w:r w:rsidR="0085528E" w:rsidRPr="0090214D">
        <w:rPr>
          <w:rFonts w:ascii="Arial" w:eastAsia="Times New Roman" w:hAnsi="Arial" w:cs="Arial"/>
          <w:sz w:val="18"/>
          <w:szCs w:val="18"/>
          <w:lang w:val="es-ES" w:eastAsia="es-ES"/>
        </w:rPr>
        <w:t>60</w:t>
      </w:r>
      <w:r w:rsidRPr="0090214D">
        <w:rPr>
          <w:rFonts w:ascii="Arial" w:eastAsia="Times New Roman" w:hAnsi="Arial" w:cs="Arial"/>
          <w:sz w:val="18"/>
          <w:szCs w:val="18"/>
          <w:lang w:val="es-ES" w:eastAsia="es-ES"/>
        </w:rPr>
        <w:t xml:space="preserve">B 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fuera de</w:t>
      </w:r>
      <w:r w:rsidR="0085528E">
        <w:rPr>
          <w:rFonts w:ascii="Arial" w:eastAsia="Times New Roman" w:hAnsi="Arial" w:cs="Arial"/>
          <w:sz w:val="18"/>
          <w:szCs w:val="18"/>
          <w:lang w:val="es-ES" w:eastAsia="es-ES"/>
        </w:rPr>
        <w:t>l almacén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, pero a no más de </w:t>
      </w:r>
      <w:smartTag w:uri="urn:schemas-microsoft-com:office:smarttags" w:element="metricconverter">
        <w:smartTagPr>
          <w:attr w:name="ProductID" w:val="3 m"/>
        </w:smartTagPr>
        <w:r w:rsidRPr="00F95CA4">
          <w:rPr>
            <w:rFonts w:ascii="Arial" w:eastAsia="Times New Roman" w:hAnsi="Arial" w:cs="Arial"/>
            <w:sz w:val="18"/>
            <w:szCs w:val="18"/>
            <w:lang w:val="es-ES" w:eastAsia="es-ES"/>
          </w:rPr>
          <w:t>3 m</w:t>
        </w:r>
      </w:smartTag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de la puerta de ingreso hacia </w:t>
      </w:r>
      <w:r w:rsidR="0085528E">
        <w:rPr>
          <w:rFonts w:ascii="Arial" w:eastAsia="Times New Roman" w:hAnsi="Arial" w:cs="Arial"/>
          <w:sz w:val="18"/>
          <w:szCs w:val="18"/>
          <w:lang w:val="es-ES" w:eastAsia="es-ES"/>
        </w:rPr>
        <w:t xml:space="preserve">el 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área de almacenamiento de </w:t>
      </w:r>
      <w:r w:rsidR="0085528E">
        <w:rPr>
          <w:rFonts w:ascii="Arial" w:eastAsia="Times New Roman" w:hAnsi="Arial" w:cs="Arial"/>
          <w:sz w:val="18"/>
          <w:szCs w:val="18"/>
          <w:lang w:val="es-ES" w:eastAsia="es-ES"/>
        </w:rPr>
        <w:t>lubricantes terminados</w:t>
      </w:r>
      <w:r w:rsidRPr="00F95CA4">
        <w:rPr>
          <w:rFonts w:ascii="Arial" w:eastAsia="Times New Roman" w:hAnsi="Arial" w:cs="Arial"/>
          <w:sz w:val="18"/>
          <w:szCs w:val="18"/>
          <w:vertAlign w:val="superscript"/>
          <w:lang w:val="es-ES" w:eastAsia="es-ES"/>
        </w:rPr>
        <w:footnoteReference w:id="5"/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.</w:t>
      </w:r>
    </w:p>
    <w:p w:rsidR="00F95CA4" w:rsidRPr="00B90911" w:rsidRDefault="00F95CA4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Los extintores deben estar ubicados donde estén fácilmente accesibles y a disposición inmediata en caso de incendio. </w:t>
      </w:r>
    </w:p>
    <w:p w:rsidR="00F95CA4" w:rsidRPr="00B90911" w:rsidRDefault="00F95CA4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Los extintores con un peso no mayor a </w:t>
      </w:r>
      <w:smartTag w:uri="urn:schemas-microsoft-com:office:smarttags" w:element="metricconverter">
        <w:smartTagPr>
          <w:attr w:name="ProductID" w:val="20 Kg"/>
        </w:smartTagPr>
        <w:r w:rsidRPr="00F95CA4">
          <w:rPr>
            <w:rFonts w:ascii="Arial" w:eastAsia="Times New Roman" w:hAnsi="Arial" w:cs="Arial"/>
            <w:sz w:val="18"/>
            <w:szCs w:val="18"/>
            <w:lang w:val="es-ES" w:eastAsia="es-ES"/>
          </w:rPr>
          <w:t>20 Kg</w:t>
        </w:r>
      </w:smartTag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deben instalarse de manera que la parte superior del extintor no esté a más de </w:t>
      </w:r>
      <w:smartTag w:uri="urn:schemas-microsoft-com:office:smarttags" w:element="metricconverter">
        <w:smartTagPr>
          <w:attr w:name="ProductID" w:val="1,5 m"/>
        </w:smartTagPr>
        <w:r w:rsidRPr="00F95CA4">
          <w:rPr>
            <w:rFonts w:ascii="Arial" w:eastAsia="Times New Roman" w:hAnsi="Arial" w:cs="Arial"/>
            <w:sz w:val="18"/>
            <w:szCs w:val="18"/>
            <w:lang w:val="es-ES" w:eastAsia="es-ES"/>
          </w:rPr>
          <w:t>1,5 m</w:t>
        </w:r>
      </w:smartTag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</w:t>
      </w:r>
    </w:p>
    <w:p w:rsidR="00B04242" w:rsidRPr="00B90911" w:rsidRDefault="00F95CA4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Los extintores con un </w:t>
      </w:r>
      <w:r w:rsidR="00B04242" w:rsidRPr="00F95CA4">
        <w:rPr>
          <w:rFonts w:ascii="Arial" w:eastAsia="Times New Roman" w:hAnsi="Arial" w:cs="Arial"/>
          <w:sz w:val="18"/>
          <w:szCs w:val="18"/>
          <w:lang w:val="es-ES" w:eastAsia="es-ES"/>
        </w:rPr>
        <w:t>peso mayor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a </w:t>
      </w:r>
      <w:smartTag w:uri="urn:schemas-microsoft-com:office:smarttags" w:element="metricconverter">
        <w:smartTagPr>
          <w:attr w:name="ProductID" w:val="20 Kg"/>
        </w:smartTagPr>
        <w:r w:rsidRPr="00F95CA4">
          <w:rPr>
            <w:rFonts w:ascii="Arial" w:eastAsia="Times New Roman" w:hAnsi="Arial" w:cs="Arial"/>
            <w:sz w:val="18"/>
            <w:szCs w:val="18"/>
            <w:lang w:val="es-ES" w:eastAsia="es-ES"/>
          </w:rPr>
          <w:t>20 Kg</w:t>
        </w:r>
      </w:smartTag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. (excepto aquellos sobre ruedas) deben instalarse de manera que la parte superior del extintor no esté a más de </w:t>
      </w:r>
      <w:smartTag w:uri="urn:schemas-microsoft-com:office:smarttags" w:element="metricconverter">
        <w:smartTagPr>
          <w:attr w:name="ProductID" w:val="1 m"/>
        </w:smartTagPr>
        <w:r w:rsidRPr="00F95CA4">
          <w:rPr>
            <w:rFonts w:ascii="Arial" w:eastAsia="Times New Roman" w:hAnsi="Arial" w:cs="Arial"/>
            <w:sz w:val="18"/>
            <w:szCs w:val="18"/>
            <w:lang w:val="es-ES" w:eastAsia="es-ES"/>
          </w:rPr>
          <w:t>1 m</w:t>
        </w:r>
      </w:smartTag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. sobre el suelo.</w:t>
      </w:r>
    </w:p>
    <w:p w:rsidR="00264339" w:rsidRDefault="00B04242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90214D">
        <w:rPr>
          <w:rFonts w:ascii="Arial" w:eastAsia="Times New Roman" w:hAnsi="Arial" w:cs="Arial"/>
          <w:sz w:val="18"/>
          <w:szCs w:val="18"/>
          <w:lang w:val="es-ES" w:eastAsia="es-ES"/>
        </w:rPr>
        <w:t xml:space="preserve">En la siguiente tabla se muestra la cantidad mínima de extintores que se deben instalar de acuerdo al área de las oficinas comerciales y para el área de almacenamiento. </w:t>
      </w:r>
    </w:p>
    <w:p w:rsidR="00B90911" w:rsidRPr="00B90911" w:rsidRDefault="00B90911" w:rsidP="00B90911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1406"/>
        <w:gridCol w:w="1176"/>
        <w:gridCol w:w="1399"/>
        <w:gridCol w:w="1691"/>
        <w:gridCol w:w="1754"/>
        <w:gridCol w:w="1783"/>
      </w:tblGrid>
      <w:tr w:rsidR="00264339" w:rsidTr="00B04242">
        <w:tc>
          <w:tcPr>
            <w:tcW w:w="140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64339" w:rsidRPr="00B90911" w:rsidRDefault="00264339" w:rsidP="007A54B1">
            <w:pPr>
              <w:ind w:right="-3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ind w:right="-3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ind w:right="-3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DISTRIBUIDOR</w:t>
            </w:r>
          </w:p>
        </w:tc>
        <w:tc>
          <w:tcPr>
            <w:tcW w:w="1141" w:type="dxa"/>
            <w:shd w:val="clear" w:color="auto" w:fill="BDD6EE" w:themeFill="accent1" w:themeFillTint="66"/>
          </w:tcPr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CATEGORIA</w:t>
            </w:r>
          </w:p>
        </w:tc>
        <w:tc>
          <w:tcPr>
            <w:tcW w:w="1345" w:type="dxa"/>
            <w:shd w:val="clear" w:color="auto" w:fill="BDD6EE" w:themeFill="accent1" w:themeFillTint="66"/>
          </w:tcPr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OFICINAS COMERCIALES</w:t>
            </w: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(m2)</w:t>
            </w:r>
          </w:p>
        </w:tc>
        <w:tc>
          <w:tcPr>
            <w:tcW w:w="1858" w:type="dxa"/>
            <w:shd w:val="clear" w:color="auto" w:fill="BDD6EE" w:themeFill="accent1" w:themeFillTint="66"/>
          </w:tcPr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CANTIDAD MINIMA DE EXTINTORES</w:t>
            </w: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(</w:t>
            </w:r>
            <w:r w:rsid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R</w:t>
            </w:r>
            <w:r w:rsidR="0090214D"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ango de potencial</w:t>
            </w:r>
            <w:r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extintor</w:t>
            </w:r>
            <w:r w:rsidR="0090214D"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requerido:</w:t>
            </w:r>
            <w:r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</w:t>
            </w:r>
          </w:p>
          <w:p w:rsidR="00264339" w:rsidRPr="00B90911" w:rsidRDefault="0090214D" w:rsidP="00B0424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entre 4 y </w:t>
            </w:r>
            <w:r w:rsidR="00B04242"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10</w:t>
            </w:r>
            <w:r w:rsidR="00264339"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A)</w:t>
            </w:r>
          </w:p>
        </w:tc>
        <w:tc>
          <w:tcPr>
            <w:tcW w:w="1475" w:type="dxa"/>
            <w:shd w:val="clear" w:color="auto" w:fill="BDD6EE" w:themeFill="accent1" w:themeFillTint="66"/>
          </w:tcPr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ALMACENAMIENTO</w:t>
            </w: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(m2)</w:t>
            </w:r>
          </w:p>
        </w:tc>
        <w:tc>
          <w:tcPr>
            <w:tcW w:w="1984" w:type="dxa"/>
            <w:shd w:val="clear" w:color="auto" w:fill="BDD6EE" w:themeFill="accent1" w:themeFillTint="66"/>
          </w:tcPr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</w:p>
          <w:p w:rsidR="00264339" w:rsidRPr="00B90911" w:rsidRDefault="00264339" w:rsidP="007A54B1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CANTIDAD MINIMA DE EXTINTORES</w:t>
            </w:r>
          </w:p>
          <w:p w:rsidR="0090214D" w:rsidRPr="00B90911" w:rsidRDefault="00264339" w:rsidP="0090214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(</w:t>
            </w:r>
            <w:r w:rsidR="00B90911"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R</w:t>
            </w:r>
            <w:r w:rsidR="0090214D"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ango de potencial extintor requerido: </w:t>
            </w:r>
          </w:p>
          <w:p w:rsidR="00264339" w:rsidRPr="00B90911" w:rsidRDefault="0090214D" w:rsidP="0090214D">
            <w:pPr>
              <w:ind w:left="-374" w:firstLine="374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B90911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entre 60 y 80 A)</w:t>
            </w:r>
          </w:p>
        </w:tc>
      </w:tr>
      <w:tr w:rsidR="00B04242" w:rsidTr="00B04242"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</w:t>
            </w:r>
          </w:p>
        </w:tc>
        <w:tc>
          <w:tcPr>
            <w:tcW w:w="134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40</w:t>
            </w:r>
          </w:p>
        </w:tc>
        <w:tc>
          <w:tcPr>
            <w:tcW w:w="1858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147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70</w:t>
            </w:r>
          </w:p>
        </w:tc>
        <w:tc>
          <w:tcPr>
            <w:tcW w:w="1984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2</w:t>
            </w:r>
          </w:p>
        </w:tc>
      </w:tr>
      <w:tr w:rsidR="00B04242" w:rsidTr="00B04242"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B</w:t>
            </w:r>
          </w:p>
        </w:tc>
        <w:tc>
          <w:tcPr>
            <w:tcW w:w="134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50</w:t>
            </w:r>
          </w:p>
        </w:tc>
        <w:tc>
          <w:tcPr>
            <w:tcW w:w="1858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147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140</w:t>
            </w:r>
          </w:p>
        </w:tc>
        <w:tc>
          <w:tcPr>
            <w:tcW w:w="1984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4</w:t>
            </w:r>
          </w:p>
        </w:tc>
      </w:tr>
      <w:tr w:rsidR="00B04242" w:rsidTr="00B04242"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AUTOMOTRIZ</w:t>
            </w: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C</w:t>
            </w:r>
          </w:p>
        </w:tc>
        <w:tc>
          <w:tcPr>
            <w:tcW w:w="134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60</w:t>
            </w:r>
          </w:p>
        </w:tc>
        <w:tc>
          <w:tcPr>
            <w:tcW w:w="1858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1</w:t>
            </w:r>
          </w:p>
        </w:tc>
        <w:tc>
          <w:tcPr>
            <w:tcW w:w="147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210</w:t>
            </w:r>
          </w:p>
        </w:tc>
        <w:tc>
          <w:tcPr>
            <w:tcW w:w="1984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4</w:t>
            </w:r>
          </w:p>
        </w:tc>
      </w:tr>
      <w:tr w:rsidR="00B04242" w:rsidTr="00B04242"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D</w:t>
            </w:r>
          </w:p>
        </w:tc>
        <w:tc>
          <w:tcPr>
            <w:tcW w:w="134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70</w:t>
            </w:r>
          </w:p>
        </w:tc>
        <w:tc>
          <w:tcPr>
            <w:tcW w:w="1858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147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280</w:t>
            </w:r>
          </w:p>
        </w:tc>
        <w:tc>
          <w:tcPr>
            <w:tcW w:w="1984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4</w:t>
            </w:r>
          </w:p>
        </w:tc>
      </w:tr>
      <w:tr w:rsidR="00B04242" w:rsidTr="00B04242"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F</w:t>
            </w:r>
          </w:p>
        </w:tc>
        <w:tc>
          <w:tcPr>
            <w:tcW w:w="1345" w:type="dxa"/>
          </w:tcPr>
          <w:p w:rsidR="00264339" w:rsidRPr="0090214D" w:rsidRDefault="00B90911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90</w:t>
            </w:r>
          </w:p>
        </w:tc>
        <w:tc>
          <w:tcPr>
            <w:tcW w:w="1858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2</w:t>
            </w:r>
          </w:p>
        </w:tc>
        <w:tc>
          <w:tcPr>
            <w:tcW w:w="1475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420</w:t>
            </w:r>
          </w:p>
        </w:tc>
        <w:tc>
          <w:tcPr>
            <w:tcW w:w="1984" w:type="dxa"/>
          </w:tcPr>
          <w:p w:rsidR="00264339" w:rsidRPr="0090214D" w:rsidRDefault="00264339" w:rsidP="007A54B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90214D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4</w:t>
            </w:r>
          </w:p>
        </w:tc>
      </w:tr>
    </w:tbl>
    <w:p w:rsidR="001B1CE7" w:rsidRDefault="001B1CE7" w:rsidP="001B1CE7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882AE5" w:rsidRPr="00B90911" w:rsidRDefault="001B1CE7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En caso que la distancia de recorrido hacia cualquier de los extintores sea mayor a 23 metros dentro las oficinas comerciales se debe instalar otro extintor.</w:t>
      </w:r>
    </w:p>
    <w:p w:rsidR="001B1CE7" w:rsidRPr="00B90911" w:rsidRDefault="001B1CE7" w:rsidP="00B9091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En caso que la distancia de recorrido hacia cualquier de</w:t>
      </w:r>
      <w:r w:rsidR="0090214D"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los extintores sea mayor a 15</w:t>
      </w: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metros dentro el área de almacenamiento se debe instalar otro extintor </w:t>
      </w:r>
      <w:r w:rsidR="0090214D"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adicional a la cantidad establecida en la tabla precautelando </w:t>
      </w: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cuidando esta distancia.</w:t>
      </w:r>
    </w:p>
    <w:p w:rsidR="00F95CA4" w:rsidRPr="00B90911" w:rsidRDefault="00F95CA4" w:rsidP="00F95CA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Los gabinetes que albergan extintores deben asegurar un fácil acceso al equipo y no deben cerrarse con candado u otro dispositivo de bloqueo, excepto cuando los extintores estén sometidos a vandalismo, robo o abuso. E</w:t>
      </w:r>
      <w:r w:rsidR="00B04242">
        <w:rPr>
          <w:rFonts w:ascii="Arial" w:eastAsia="Times New Roman" w:hAnsi="Arial" w:cs="Arial"/>
          <w:sz w:val="18"/>
          <w:szCs w:val="18"/>
          <w:lang w:val="es-ES" w:eastAsia="es-ES"/>
        </w:rPr>
        <w:t>n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caso que sea necesario que estén cerrados el gabinete debe tener la cara frontal de vidrio y disponer de un martillo para romper el vidrio en caso de emergencia.</w:t>
      </w:r>
    </w:p>
    <w:p w:rsidR="00F95CA4" w:rsidRPr="00F95CA4" w:rsidRDefault="00F95CA4" w:rsidP="00F95CA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Los extintores deben estar señalizados de acuerdo a RM 849-</w:t>
      </w:r>
      <w:proofErr w:type="gramStart"/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1  Reglamento</w:t>
      </w:r>
      <w:proofErr w:type="gramEnd"/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 Seguridad</w:t>
      </w:r>
    </w:p>
    <w:p w:rsidR="00F95CA4" w:rsidRPr="00F95CA4" w:rsidRDefault="00F95CA4" w:rsidP="00F95CA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8"/>
          <w:szCs w:val="18"/>
          <w:lang w:eastAsia="es-BO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lastRenderedPageBreak/>
        <w:t xml:space="preserve"> </w:t>
      </w:r>
      <w:r w:rsidRPr="00F95CA4">
        <w:rPr>
          <w:rFonts w:ascii="Times New Roman" w:eastAsia="Times New Roman" w:hAnsi="Times New Roman" w:cs="Times New Roman"/>
          <w:noProof/>
          <w:sz w:val="18"/>
          <w:szCs w:val="18"/>
          <w:lang w:eastAsia="es-BO"/>
        </w:rPr>
        <w:drawing>
          <wp:inline distT="0" distB="0" distL="0" distR="0" wp14:anchorId="5B617541" wp14:editId="44DC37B3">
            <wp:extent cx="1440815" cy="1708150"/>
            <wp:effectExtent l="0" t="0" r="6985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56" t="19766" r="34544" b="24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CA4" w:rsidRPr="00F95CA4" w:rsidRDefault="00F95CA4" w:rsidP="00F95CA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8"/>
          <w:szCs w:val="18"/>
          <w:lang w:eastAsia="es-BO"/>
        </w:rPr>
      </w:pPr>
      <w:r w:rsidRPr="00F95CA4">
        <w:rPr>
          <w:rFonts w:ascii="Times New Roman" w:eastAsia="Times New Roman" w:hAnsi="Times New Roman" w:cs="Times New Roman"/>
          <w:noProof/>
          <w:sz w:val="18"/>
          <w:szCs w:val="18"/>
          <w:lang w:eastAsia="es-BO"/>
        </w:rPr>
        <w:drawing>
          <wp:inline distT="0" distB="0" distL="0" distR="0" wp14:anchorId="4F5195E2" wp14:editId="07EFE05D">
            <wp:extent cx="2734310" cy="2061845"/>
            <wp:effectExtent l="0" t="0" r="889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00" t="17340" r="22261" b="14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CA4" w:rsidRPr="00F95CA4" w:rsidRDefault="00F95CA4" w:rsidP="00F95CA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Times New Roman" w:eastAsia="Times New Roman" w:hAnsi="Times New Roman" w:cs="Times New Roman"/>
          <w:noProof/>
          <w:sz w:val="18"/>
          <w:szCs w:val="18"/>
          <w:lang w:eastAsia="es-BO"/>
        </w:rPr>
        <w:drawing>
          <wp:inline distT="0" distB="0" distL="0" distR="0" wp14:anchorId="187EFA6C" wp14:editId="5A59C245">
            <wp:extent cx="1716405" cy="185483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63" t="29156" r="35226" b="9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B90911" w:rsidRDefault="00B90911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B90911" w:rsidRDefault="00F95CA4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val="es-ES" w:eastAsia="es-ES"/>
        </w:rPr>
        <w:t>Contención, Drenajes y Control de derrames.</w:t>
      </w:r>
    </w:p>
    <w:p w:rsidR="00F95CA4" w:rsidRPr="00F95CA4" w:rsidRDefault="00F95CA4" w:rsidP="00F95CA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F95CA4" w:rsidRDefault="00F95CA4" w:rsidP="00F95CA4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Las instalaciones de almacenamiento deben contar con un sistema de contención y/o drenajes que permitan controlar un posible derrame de producto.</w:t>
      </w:r>
    </w:p>
    <w:p w:rsidR="00F95CA4" w:rsidRPr="00F95CA4" w:rsidRDefault="00F95CA4" w:rsidP="00F95CA4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Cuando el sistema de drenaje descarga en cuerpos o colectores públicos previamente aprobados para tal efecto, este sistema debe contar con trampas y separadores.</w:t>
      </w:r>
    </w:p>
    <w:p w:rsidR="00F95CA4" w:rsidRDefault="00F95CA4" w:rsidP="00F95CA4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El sistema de drenaje debe tener la capacidad para transportar la descarga de agua esperada de los sistemas de protección contra incendios.</w:t>
      </w:r>
    </w:p>
    <w:p w:rsidR="00B90911" w:rsidRDefault="00B90911" w:rsidP="001B1CE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B1CE7" w:rsidRPr="00B90911" w:rsidRDefault="002D5862" w:rsidP="00B90911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  <w:r w:rsidRPr="00B90911">
        <w:rPr>
          <w:rFonts w:ascii="Arial" w:eastAsia="Times New Roman" w:hAnsi="Arial" w:cs="Arial"/>
          <w:b/>
          <w:sz w:val="18"/>
          <w:szCs w:val="18"/>
          <w:lang w:val="es-ES" w:eastAsia="es-ES"/>
        </w:rPr>
        <w:t>Planeación</w:t>
      </w:r>
      <w:r w:rsidR="001B1CE7" w:rsidRPr="00B90911">
        <w:rPr>
          <w:rFonts w:ascii="Arial" w:eastAsia="Times New Roman" w:hAnsi="Arial" w:cs="Arial"/>
          <w:b/>
          <w:sz w:val="18"/>
          <w:szCs w:val="18"/>
          <w:lang w:val="es-ES" w:eastAsia="es-ES"/>
        </w:rPr>
        <w:t xml:space="preserve"> y capacitación para emergencias</w:t>
      </w:r>
    </w:p>
    <w:p w:rsidR="001B1CE7" w:rsidRPr="00882AE5" w:rsidRDefault="001B1CE7" w:rsidP="001B1CE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B1CE7" w:rsidRPr="00B90911" w:rsidRDefault="001B1CE7" w:rsidP="00B90911">
      <w:pPr>
        <w:pStyle w:val="Prrafodelista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B90911">
        <w:rPr>
          <w:rFonts w:ascii="Arial" w:eastAsia="Times New Roman" w:hAnsi="Arial" w:cs="Arial"/>
          <w:sz w:val="18"/>
          <w:szCs w:val="18"/>
          <w:lang w:val="es-ES" w:eastAsia="es-ES"/>
        </w:rPr>
        <w:t xml:space="preserve">Debe establecerse un plan de acción o protocolo para emergencia por escrito que sea consistente con el personal y equipo disponible para responder a incendios y emergencias </w:t>
      </w:r>
      <w:r w:rsidR="002D5862" w:rsidRPr="00B90911">
        <w:rPr>
          <w:rFonts w:ascii="Arial" w:eastAsia="Times New Roman" w:hAnsi="Arial" w:cs="Arial"/>
          <w:sz w:val="18"/>
          <w:szCs w:val="18"/>
          <w:lang w:val="es-ES" w:eastAsia="es-ES"/>
        </w:rPr>
        <w:t>relacionadas. Este</w:t>
      </w:r>
      <w:r w:rsidRPr="00B90911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plan o protocol</w:t>
      </w:r>
      <w:r w:rsidR="002D5862" w:rsidRPr="00B90911">
        <w:rPr>
          <w:rFonts w:ascii="Arial" w:eastAsia="Times New Roman" w:hAnsi="Arial" w:cs="Arial"/>
          <w:sz w:val="18"/>
          <w:szCs w:val="18"/>
          <w:lang w:val="es-ES" w:eastAsia="es-ES"/>
        </w:rPr>
        <w:t>o</w:t>
      </w:r>
      <w:r w:rsidRPr="00B90911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debe incluir lo siguiente:</w:t>
      </w:r>
    </w:p>
    <w:p w:rsidR="002D5862" w:rsidRPr="00882AE5" w:rsidRDefault="001B1CE7" w:rsidP="002D5862">
      <w:pPr>
        <w:pStyle w:val="Prrafodelista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Procedimiento a seguir en caso de incendio, forma de comunicación de</w:t>
      </w:r>
      <w:r w:rsidR="002D5862"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la emergencia, comunicación </w:t>
      </w:r>
    </w:p>
    <w:p w:rsidR="001B1CE7" w:rsidRPr="00882AE5" w:rsidRDefault="002D5862" w:rsidP="002D5862">
      <w:pPr>
        <w:pStyle w:val="Prrafodelista"/>
        <w:spacing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       a los bomberos de la policía, evacuación del personal y control y extinción del incendio.</w:t>
      </w:r>
    </w:p>
    <w:p w:rsidR="002D5862" w:rsidRPr="00882AE5" w:rsidRDefault="002D5862" w:rsidP="002D5862">
      <w:pPr>
        <w:pStyle w:val="Prrafodelista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Reunir y capacitar al personal en responsabilidades o acciones de respuesta en caso de incendio.</w:t>
      </w:r>
    </w:p>
    <w:p w:rsidR="002D5862" w:rsidRPr="00882AE5" w:rsidRDefault="002D5862" w:rsidP="002D5862">
      <w:pPr>
        <w:pStyle w:val="Prrafodelista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lastRenderedPageBreak/>
        <w:t>Ejecución de las inspecciones mensuales y mantenimiento anual de los extintores.</w:t>
      </w:r>
    </w:p>
    <w:p w:rsidR="002D5862" w:rsidRPr="00882AE5" w:rsidRDefault="002D5862" w:rsidP="002D5862">
      <w:pPr>
        <w:pStyle w:val="Prrafodelista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Ejecución de simulacros para poner en práctica el plan de acción o protocolo para emergencias</w:t>
      </w:r>
    </w:p>
    <w:p w:rsidR="00CF5791" w:rsidRPr="00882AE5" w:rsidRDefault="00CF5791" w:rsidP="00CF5791">
      <w:pPr>
        <w:pStyle w:val="Prrafodelista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El personal responsable del uso de los extintores debe estar capacitado en su uso.</w:t>
      </w:r>
      <w:r w:rsidR="007955FD"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Debe realizarse entrenamiento de actualización por lo menos cada año.</w:t>
      </w:r>
    </w:p>
    <w:p w:rsidR="00CF5791" w:rsidRPr="00882AE5" w:rsidRDefault="00CF5791" w:rsidP="00CF5791">
      <w:pPr>
        <w:pStyle w:val="Prrafodelista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882AE5">
        <w:rPr>
          <w:rFonts w:ascii="Arial" w:eastAsia="Times New Roman" w:hAnsi="Arial" w:cs="Arial"/>
          <w:sz w:val="18"/>
          <w:szCs w:val="18"/>
          <w:lang w:val="es-ES" w:eastAsia="es-ES"/>
        </w:rPr>
        <w:t>El plan de acción o protocolo para emergencias debe mantenerse fácilmente disponible en las</w:t>
      </w:r>
      <w:r w:rsidR="007955FD" w:rsidRPr="00882AE5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oficinas comerciales como en el área de almacenaje</w:t>
      </w:r>
    </w:p>
    <w:p w:rsidR="00CF5791" w:rsidRPr="00CF5791" w:rsidRDefault="00CF5791" w:rsidP="00CF5791">
      <w:pPr>
        <w:spacing w:after="0" w:line="240" w:lineRule="auto"/>
        <w:ind w:left="284"/>
        <w:jc w:val="both"/>
        <w:rPr>
          <w:rFonts w:ascii="Arial" w:eastAsia="Times New Roman" w:hAnsi="Arial" w:cs="Arial"/>
          <w:color w:val="FF0000"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val="es-ES" w:eastAsia="es-ES"/>
        </w:rPr>
        <w:t>DOCUMENTOS DE REFERENCIA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val="es-ES" w:eastAsia="es-ES"/>
        </w:rPr>
        <w:t>NFPA 30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: Código de Líquidos inflamables y combustibles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val="es-ES" w:eastAsia="es-ES"/>
        </w:rPr>
        <w:t>NFPA 13: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Instalación de sistemas de rociadores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val="es-ES" w:eastAsia="es-ES"/>
        </w:rPr>
        <w:t>NFPA 14: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Instalación de sistemas de tubería vertical y de mangueras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b/>
          <w:sz w:val="18"/>
          <w:szCs w:val="18"/>
          <w:lang w:val="es-ES" w:eastAsia="es-ES"/>
        </w:rPr>
        <w:t xml:space="preserve">NB 58002: </w:t>
      </w: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Extintores Portátiles contra incendios – Requisitos de selección, instalación, aprobación e inspección – Disposiciones Generales 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>Julio 2010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95CA4">
        <w:rPr>
          <w:rFonts w:ascii="Arial" w:eastAsia="Times New Roman" w:hAnsi="Arial" w:cs="Arial"/>
          <w:sz w:val="18"/>
          <w:szCs w:val="18"/>
          <w:lang w:val="es-ES" w:eastAsia="es-ES"/>
        </w:rPr>
        <w:t xml:space="preserve"> </w:t>
      </w: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F95CA4" w:rsidRPr="00F95CA4" w:rsidRDefault="00F95CA4" w:rsidP="00F95CA4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val="es-ES" w:eastAsia="es-ES"/>
        </w:rPr>
      </w:pPr>
    </w:p>
    <w:p w:rsidR="0098618D" w:rsidRDefault="0098618D">
      <w:bookmarkStart w:id="0" w:name="_GoBack"/>
      <w:bookmarkEnd w:id="0"/>
    </w:p>
    <w:sectPr w:rsidR="009861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7D" w:rsidRDefault="00F52A7D" w:rsidP="00F95CA4">
      <w:pPr>
        <w:spacing w:after="0" w:line="240" w:lineRule="auto"/>
      </w:pPr>
      <w:r>
        <w:separator/>
      </w:r>
    </w:p>
  </w:endnote>
  <w:endnote w:type="continuationSeparator" w:id="0">
    <w:p w:rsidR="00F52A7D" w:rsidRDefault="00F52A7D" w:rsidP="00F95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7D" w:rsidRDefault="00F52A7D" w:rsidP="00F95CA4">
      <w:pPr>
        <w:spacing w:after="0" w:line="240" w:lineRule="auto"/>
      </w:pPr>
      <w:r>
        <w:separator/>
      </w:r>
    </w:p>
  </w:footnote>
  <w:footnote w:type="continuationSeparator" w:id="0">
    <w:p w:rsidR="00F52A7D" w:rsidRDefault="00F52A7D" w:rsidP="00F95CA4">
      <w:pPr>
        <w:spacing w:after="0" w:line="240" w:lineRule="auto"/>
      </w:pPr>
      <w:r>
        <w:continuationSeparator/>
      </w:r>
    </w:p>
  </w:footnote>
  <w:footnote w:id="1">
    <w:p w:rsidR="00F95CA4" w:rsidRPr="00D82676" w:rsidRDefault="00F95CA4" w:rsidP="00F95CA4">
      <w:pPr>
        <w:pStyle w:val="Textonotapie"/>
        <w:rPr>
          <w:lang w:val="es-B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BO"/>
        </w:rPr>
        <w:t>Definición Sótano: Estructura de un oficio que tiene la mitad o más de su altura bajo el nivel del suelo y el acceso para combate contra incendios es limitado.</w:t>
      </w:r>
    </w:p>
  </w:footnote>
  <w:footnote w:id="2">
    <w:p w:rsidR="00F95CA4" w:rsidRPr="00D82676" w:rsidRDefault="00F95CA4" w:rsidP="00F95CA4">
      <w:pPr>
        <w:pStyle w:val="Textonotapie"/>
        <w:rPr>
          <w:lang w:val="es-B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BO"/>
        </w:rPr>
        <w:t>NFPA 30 9.3.11</w:t>
      </w:r>
    </w:p>
  </w:footnote>
  <w:footnote w:id="3">
    <w:p w:rsidR="00F95CA4" w:rsidRPr="00AB7FF6" w:rsidRDefault="00F95CA4" w:rsidP="00F95CA4">
      <w:pPr>
        <w:pStyle w:val="Textonotapie"/>
        <w:rPr>
          <w:lang w:val="es-B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BO"/>
        </w:rPr>
        <w:t>Según NFPA 30 12.3.5</w:t>
      </w:r>
    </w:p>
  </w:footnote>
  <w:footnote w:id="4">
    <w:p w:rsidR="00F95CA4" w:rsidRPr="00AB7FF6" w:rsidRDefault="00F95CA4" w:rsidP="00F95CA4">
      <w:pPr>
        <w:pStyle w:val="Textonotapie"/>
        <w:rPr>
          <w:lang w:val="es-B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BO"/>
        </w:rPr>
        <w:t>Según NFPA 30 12.3.7</w:t>
      </w:r>
    </w:p>
  </w:footnote>
  <w:footnote w:id="5">
    <w:p w:rsidR="00F95CA4" w:rsidRPr="00FE5070" w:rsidRDefault="00F95CA4" w:rsidP="00F95CA4">
      <w:pPr>
        <w:pStyle w:val="Textonotapie"/>
        <w:rPr>
          <w:lang w:val="es-B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BO"/>
        </w:rPr>
        <w:t>NFPA 30 9.10.2.2 (1)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1078C"/>
    <w:multiLevelType w:val="hybridMultilevel"/>
    <w:tmpl w:val="11CC252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323AC"/>
    <w:multiLevelType w:val="hybridMultilevel"/>
    <w:tmpl w:val="82C09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B7429"/>
    <w:multiLevelType w:val="hybridMultilevel"/>
    <w:tmpl w:val="0E7C16B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2E2809"/>
    <w:multiLevelType w:val="hybridMultilevel"/>
    <w:tmpl w:val="327C4E9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57A45"/>
    <w:multiLevelType w:val="hybridMultilevel"/>
    <w:tmpl w:val="C5D4D376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E905EF"/>
    <w:multiLevelType w:val="hybridMultilevel"/>
    <w:tmpl w:val="B8DA2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D7638C"/>
    <w:multiLevelType w:val="hybridMultilevel"/>
    <w:tmpl w:val="58D42F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F54A61"/>
    <w:multiLevelType w:val="hybridMultilevel"/>
    <w:tmpl w:val="A97C7704"/>
    <w:lvl w:ilvl="0" w:tplc="6734B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5A3D3C">
      <w:numFmt w:val="none"/>
      <w:lvlText w:val=""/>
      <w:lvlJc w:val="left"/>
      <w:pPr>
        <w:tabs>
          <w:tab w:val="num" w:pos="360"/>
        </w:tabs>
      </w:pPr>
    </w:lvl>
    <w:lvl w:ilvl="2" w:tplc="A2983108">
      <w:numFmt w:val="none"/>
      <w:lvlText w:val=""/>
      <w:lvlJc w:val="left"/>
      <w:pPr>
        <w:tabs>
          <w:tab w:val="num" w:pos="360"/>
        </w:tabs>
      </w:pPr>
    </w:lvl>
    <w:lvl w:ilvl="3" w:tplc="5BA2EEB2">
      <w:numFmt w:val="none"/>
      <w:lvlText w:val=""/>
      <w:lvlJc w:val="left"/>
      <w:pPr>
        <w:tabs>
          <w:tab w:val="num" w:pos="360"/>
        </w:tabs>
      </w:pPr>
    </w:lvl>
    <w:lvl w:ilvl="4" w:tplc="B882FACE">
      <w:numFmt w:val="none"/>
      <w:lvlText w:val=""/>
      <w:lvlJc w:val="left"/>
      <w:pPr>
        <w:tabs>
          <w:tab w:val="num" w:pos="360"/>
        </w:tabs>
      </w:pPr>
    </w:lvl>
    <w:lvl w:ilvl="5" w:tplc="32B80BF6">
      <w:numFmt w:val="none"/>
      <w:lvlText w:val=""/>
      <w:lvlJc w:val="left"/>
      <w:pPr>
        <w:tabs>
          <w:tab w:val="num" w:pos="360"/>
        </w:tabs>
      </w:pPr>
    </w:lvl>
    <w:lvl w:ilvl="6" w:tplc="60CC0554">
      <w:numFmt w:val="none"/>
      <w:lvlText w:val=""/>
      <w:lvlJc w:val="left"/>
      <w:pPr>
        <w:tabs>
          <w:tab w:val="num" w:pos="360"/>
        </w:tabs>
      </w:pPr>
    </w:lvl>
    <w:lvl w:ilvl="7" w:tplc="B5B47196">
      <w:numFmt w:val="none"/>
      <w:lvlText w:val=""/>
      <w:lvlJc w:val="left"/>
      <w:pPr>
        <w:tabs>
          <w:tab w:val="num" w:pos="360"/>
        </w:tabs>
      </w:pPr>
    </w:lvl>
    <w:lvl w:ilvl="8" w:tplc="FE0CB45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E742C39"/>
    <w:multiLevelType w:val="hybridMultilevel"/>
    <w:tmpl w:val="E1867C4E"/>
    <w:lvl w:ilvl="0" w:tplc="DF2AE280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B5124"/>
    <w:multiLevelType w:val="multilevel"/>
    <w:tmpl w:val="4F4ED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8C451D7"/>
    <w:multiLevelType w:val="hybridMultilevel"/>
    <w:tmpl w:val="450088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AF072B"/>
    <w:multiLevelType w:val="hybridMultilevel"/>
    <w:tmpl w:val="733AE3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A4"/>
    <w:rsid w:val="00116870"/>
    <w:rsid w:val="001B1CE7"/>
    <w:rsid w:val="001F51E4"/>
    <w:rsid w:val="00264339"/>
    <w:rsid w:val="002D5862"/>
    <w:rsid w:val="00385F41"/>
    <w:rsid w:val="0045373E"/>
    <w:rsid w:val="005D5955"/>
    <w:rsid w:val="007955FD"/>
    <w:rsid w:val="0085528E"/>
    <w:rsid w:val="00882AE5"/>
    <w:rsid w:val="0090214D"/>
    <w:rsid w:val="0098618D"/>
    <w:rsid w:val="0098755C"/>
    <w:rsid w:val="009D5BA9"/>
    <w:rsid w:val="00B04242"/>
    <w:rsid w:val="00B90911"/>
    <w:rsid w:val="00CF5791"/>
    <w:rsid w:val="00D72C6E"/>
    <w:rsid w:val="00F52A7D"/>
    <w:rsid w:val="00F9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402565"/>
  <w15:chartTrackingRefBased/>
  <w15:docId w15:val="{E42D99B6-09A7-4D6A-B900-4E8A8D84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rsid w:val="00F95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F95CA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rsid w:val="00F95CA4"/>
    <w:rPr>
      <w:vertAlign w:val="superscript"/>
    </w:rPr>
  </w:style>
  <w:style w:type="paragraph" w:styleId="Prrafodelista">
    <w:name w:val="List Paragraph"/>
    <w:basedOn w:val="Normal"/>
    <w:uiPriority w:val="34"/>
    <w:qFormat/>
    <w:rsid w:val="0098755C"/>
    <w:pPr>
      <w:ind w:left="720"/>
      <w:contextualSpacing/>
    </w:pPr>
  </w:style>
  <w:style w:type="table" w:styleId="Tablaconcuadrcula">
    <w:name w:val="Table Grid"/>
    <w:basedOn w:val="Tablanormal"/>
    <w:uiPriority w:val="39"/>
    <w:rsid w:val="00116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1007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Fernando Suntura Mendoza</dc:creator>
  <cp:keywords/>
  <dc:description/>
  <cp:lastModifiedBy>Geraldine Iriarte Rodriguez</cp:lastModifiedBy>
  <cp:revision>3</cp:revision>
  <dcterms:created xsi:type="dcterms:W3CDTF">2019-09-02T22:17:00Z</dcterms:created>
  <dcterms:modified xsi:type="dcterms:W3CDTF">2023-03-13T17:54:00Z</dcterms:modified>
</cp:coreProperties>
</file>