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CA4" w:rsidRPr="00AD73DD" w:rsidRDefault="00F95CA4" w:rsidP="00AD73DD">
      <w:pPr>
        <w:spacing w:after="0" w:line="276" w:lineRule="auto"/>
        <w:jc w:val="center"/>
        <w:rPr>
          <w:rFonts w:ascii="Arial" w:eastAsia="Times New Roman" w:hAnsi="Arial" w:cs="Arial"/>
          <w:b/>
          <w:sz w:val="24"/>
          <w:szCs w:val="18"/>
          <w:lang w:eastAsia="es-ES"/>
        </w:rPr>
      </w:pPr>
      <w:r w:rsidRPr="00AD73DD">
        <w:rPr>
          <w:rFonts w:ascii="Arial" w:eastAsia="Times New Roman" w:hAnsi="Arial" w:cs="Arial"/>
          <w:b/>
          <w:sz w:val="24"/>
          <w:szCs w:val="18"/>
          <w:lang w:eastAsia="es-ES"/>
        </w:rPr>
        <w:t>ANEXO</w:t>
      </w:r>
      <w:r w:rsidR="00D8205F" w:rsidRPr="00AD73DD">
        <w:rPr>
          <w:rFonts w:ascii="Arial" w:eastAsia="Times New Roman" w:hAnsi="Arial" w:cs="Arial"/>
          <w:b/>
          <w:sz w:val="24"/>
          <w:szCs w:val="18"/>
          <w:lang w:eastAsia="es-ES"/>
        </w:rPr>
        <w:t xml:space="preserve"> </w:t>
      </w:r>
      <w:r w:rsidR="00AD73DD" w:rsidRPr="00AD73DD">
        <w:rPr>
          <w:rFonts w:ascii="Arial" w:eastAsia="Times New Roman" w:hAnsi="Arial" w:cs="Arial"/>
          <w:b/>
          <w:sz w:val="24"/>
          <w:szCs w:val="18"/>
          <w:lang w:eastAsia="es-ES"/>
        </w:rPr>
        <w:t>D</w:t>
      </w:r>
    </w:p>
    <w:p w:rsidR="00F95CA4" w:rsidRPr="00AD73DD" w:rsidRDefault="00AD73DD" w:rsidP="00AD73DD">
      <w:pPr>
        <w:spacing w:after="0" w:line="276" w:lineRule="auto"/>
        <w:jc w:val="center"/>
        <w:rPr>
          <w:rFonts w:ascii="Arial" w:eastAsia="Times New Roman" w:hAnsi="Arial" w:cs="Arial"/>
          <w:b/>
          <w:sz w:val="24"/>
          <w:szCs w:val="18"/>
          <w:lang w:eastAsia="es-ES"/>
        </w:rPr>
      </w:pPr>
      <w:r w:rsidRPr="00AD73DD">
        <w:rPr>
          <w:rFonts w:ascii="Arial" w:eastAsia="Times New Roman" w:hAnsi="Arial" w:cs="Arial"/>
          <w:b/>
          <w:sz w:val="24"/>
          <w:szCs w:val="18"/>
          <w:lang w:eastAsia="es-ES"/>
        </w:rPr>
        <w:t>ALMACENAMIENTO EN RACKS O ESTANTERÍA</w:t>
      </w:r>
    </w:p>
    <w:p w:rsidR="002148FE" w:rsidRDefault="002148FE" w:rsidP="00AD73DD">
      <w:pPr>
        <w:spacing w:after="0" w:line="276" w:lineRule="auto"/>
        <w:jc w:val="center"/>
        <w:rPr>
          <w:rFonts w:ascii="Calibri" w:eastAsia="Times New Roman" w:hAnsi="Calibri" w:cs="Times New Roman"/>
          <w:b/>
          <w:sz w:val="28"/>
          <w:szCs w:val="18"/>
          <w:lang w:eastAsia="es-ES"/>
        </w:rPr>
      </w:pPr>
    </w:p>
    <w:p w:rsidR="00F95CA4" w:rsidRPr="00AD73DD" w:rsidRDefault="00F95CA4" w:rsidP="00AD73DD">
      <w:pPr>
        <w:pStyle w:val="Prrafodelista"/>
        <w:numPr>
          <w:ilvl w:val="0"/>
          <w:numId w:val="12"/>
        </w:numPr>
        <w:spacing w:after="120" w:line="276" w:lineRule="auto"/>
        <w:jc w:val="both"/>
        <w:rPr>
          <w:rFonts w:ascii="Arial" w:eastAsia="Times New Roman" w:hAnsi="Arial" w:cs="Arial"/>
          <w:b/>
          <w:sz w:val="18"/>
          <w:szCs w:val="18"/>
          <w:lang w:eastAsia="es-ES"/>
        </w:rPr>
      </w:pPr>
      <w:r w:rsidRPr="00AD73DD">
        <w:rPr>
          <w:rFonts w:ascii="Arial" w:eastAsia="Times New Roman" w:hAnsi="Arial" w:cs="Arial"/>
          <w:b/>
          <w:sz w:val="18"/>
          <w:szCs w:val="18"/>
          <w:lang w:eastAsia="es-ES"/>
        </w:rPr>
        <w:t>OBJETIVO</w:t>
      </w:r>
    </w:p>
    <w:p w:rsidR="00F95CA4" w:rsidRPr="00AD73DD" w:rsidRDefault="00F95CA4"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E</w:t>
      </w:r>
      <w:r w:rsidR="00DA33C2" w:rsidRPr="00AD73DD">
        <w:rPr>
          <w:rFonts w:ascii="Arial" w:eastAsia="Times New Roman" w:hAnsi="Arial" w:cs="Arial"/>
          <w:sz w:val="18"/>
          <w:szCs w:val="18"/>
          <w:lang w:eastAsia="es-ES"/>
        </w:rPr>
        <w:t>l</w:t>
      </w:r>
      <w:r w:rsidRPr="00AD73DD">
        <w:rPr>
          <w:rFonts w:ascii="Arial" w:eastAsia="Times New Roman" w:hAnsi="Arial" w:cs="Arial"/>
          <w:sz w:val="18"/>
          <w:szCs w:val="18"/>
          <w:lang w:eastAsia="es-ES"/>
        </w:rPr>
        <w:t xml:space="preserve"> presente documento tiene como objeto presentar los principales </w:t>
      </w:r>
      <w:r w:rsidR="00DA33C2" w:rsidRPr="00AD73DD">
        <w:rPr>
          <w:rFonts w:ascii="Arial" w:eastAsia="Times New Roman" w:hAnsi="Arial" w:cs="Arial"/>
          <w:sz w:val="18"/>
          <w:szCs w:val="18"/>
          <w:lang w:eastAsia="es-ES"/>
        </w:rPr>
        <w:t>aspectos a considerar</w:t>
      </w:r>
      <w:r w:rsidRPr="00AD73DD">
        <w:rPr>
          <w:rFonts w:ascii="Arial" w:eastAsia="Times New Roman" w:hAnsi="Arial" w:cs="Arial"/>
          <w:sz w:val="18"/>
          <w:szCs w:val="18"/>
          <w:lang w:eastAsia="es-ES"/>
        </w:rPr>
        <w:t xml:space="preserve"> </w:t>
      </w:r>
      <w:r w:rsidR="002148FE" w:rsidRPr="00AD73DD">
        <w:rPr>
          <w:rFonts w:ascii="Arial" w:eastAsia="Times New Roman" w:hAnsi="Arial" w:cs="Arial"/>
          <w:sz w:val="18"/>
          <w:szCs w:val="18"/>
          <w:lang w:eastAsia="es-ES"/>
        </w:rPr>
        <w:t xml:space="preserve">para la utilización de racks o estantería en </w:t>
      </w:r>
      <w:r w:rsidR="00DA33C2" w:rsidRPr="00AD73DD">
        <w:rPr>
          <w:rFonts w:ascii="Arial" w:eastAsia="Times New Roman" w:hAnsi="Arial" w:cs="Arial"/>
          <w:sz w:val="18"/>
          <w:szCs w:val="18"/>
          <w:lang w:eastAsia="es-ES"/>
        </w:rPr>
        <w:t xml:space="preserve">para el almacenamiento de productos </w:t>
      </w:r>
      <w:r w:rsidRPr="00AD73DD">
        <w:rPr>
          <w:rFonts w:ascii="Arial" w:eastAsia="Times New Roman" w:hAnsi="Arial" w:cs="Arial"/>
          <w:sz w:val="18"/>
          <w:szCs w:val="18"/>
          <w:lang w:eastAsia="es-ES"/>
        </w:rPr>
        <w:t>Lubricantes Terminados de YPFB Refinación S.A.</w:t>
      </w:r>
    </w:p>
    <w:p w:rsidR="00F95CA4" w:rsidRPr="00AD73DD" w:rsidRDefault="00F95CA4" w:rsidP="00AD73DD">
      <w:pPr>
        <w:pStyle w:val="Prrafodelista"/>
        <w:numPr>
          <w:ilvl w:val="0"/>
          <w:numId w:val="12"/>
        </w:numPr>
        <w:spacing w:after="120" w:line="276" w:lineRule="auto"/>
        <w:jc w:val="both"/>
        <w:rPr>
          <w:rFonts w:ascii="Arial" w:eastAsia="Times New Roman" w:hAnsi="Arial" w:cs="Arial"/>
          <w:b/>
          <w:sz w:val="18"/>
          <w:szCs w:val="18"/>
          <w:lang w:eastAsia="es-ES"/>
        </w:rPr>
      </w:pPr>
      <w:r w:rsidRPr="00AD73DD">
        <w:rPr>
          <w:rFonts w:ascii="Arial" w:eastAsia="Times New Roman" w:hAnsi="Arial" w:cs="Arial"/>
          <w:b/>
          <w:sz w:val="18"/>
          <w:szCs w:val="18"/>
          <w:lang w:eastAsia="es-ES"/>
        </w:rPr>
        <w:t>ALCANCE</w:t>
      </w:r>
    </w:p>
    <w:p w:rsidR="00AD73DD" w:rsidRDefault="00F95CA4"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 xml:space="preserve">Los presentes </w:t>
      </w:r>
      <w:r w:rsidR="00DA33C2" w:rsidRPr="00AD73DD">
        <w:rPr>
          <w:rFonts w:ascii="Arial" w:eastAsia="Times New Roman" w:hAnsi="Arial" w:cs="Arial"/>
          <w:sz w:val="18"/>
          <w:szCs w:val="18"/>
          <w:lang w:eastAsia="es-ES"/>
        </w:rPr>
        <w:t>aspecto</w:t>
      </w:r>
      <w:r w:rsidRPr="00AD73DD">
        <w:rPr>
          <w:rFonts w:ascii="Arial" w:eastAsia="Times New Roman" w:hAnsi="Arial" w:cs="Arial"/>
          <w:sz w:val="18"/>
          <w:szCs w:val="18"/>
          <w:lang w:eastAsia="es-ES"/>
        </w:rPr>
        <w:t xml:space="preserve">s aplican para el almacenamiento de </w:t>
      </w:r>
      <w:r w:rsidR="00DA33C2" w:rsidRPr="00AD73DD">
        <w:rPr>
          <w:rFonts w:ascii="Arial" w:eastAsia="Times New Roman" w:hAnsi="Arial" w:cs="Arial"/>
          <w:sz w:val="18"/>
          <w:szCs w:val="18"/>
          <w:lang w:eastAsia="es-ES"/>
        </w:rPr>
        <w:t>productos Terminados de la marca Lubricantes YPFB en almacenes de distribuidores de lubricantes de YPFB Refinación S.A.</w:t>
      </w:r>
    </w:p>
    <w:p w:rsidR="00F95CA4" w:rsidRPr="00AD73DD" w:rsidRDefault="00DA33C2" w:rsidP="00AD73DD">
      <w:pPr>
        <w:pStyle w:val="Prrafodelista"/>
        <w:numPr>
          <w:ilvl w:val="0"/>
          <w:numId w:val="12"/>
        </w:numPr>
        <w:spacing w:after="120" w:line="276" w:lineRule="auto"/>
        <w:jc w:val="both"/>
        <w:rPr>
          <w:rFonts w:ascii="Arial" w:eastAsia="Times New Roman" w:hAnsi="Arial" w:cs="Arial"/>
          <w:b/>
          <w:sz w:val="18"/>
          <w:szCs w:val="18"/>
          <w:lang w:val="es-BO" w:eastAsia="es-ES"/>
        </w:rPr>
      </w:pPr>
      <w:r w:rsidRPr="00AD73DD">
        <w:rPr>
          <w:rFonts w:ascii="Arial" w:eastAsia="Times New Roman" w:hAnsi="Arial" w:cs="Arial"/>
          <w:b/>
          <w:sz w:val="18"/>
          <w:szCs w:val="18"/>
          <w:lang w:eastAsia="es-ES"/>
        </w:rPr>
        <w:t>DESARROLLO</w:t>
      </w:r>
    </w:p>
    <w:p w:rsidR="00AD73DD" w:rsidRPr="00AD73DD" w:rsidRDefault="00AD73DD" w:rsidP="00AD73DD">
      <w:pPr>
        <w:pStyle w:val="Prrafodelista"/>
        <w:spacing w:after="120" w:line="276" w:lineRule="auto"/>
        <w:jc w:val="both"/>
        <w:rPr>
          <w:rFonts w:ascii="Arial" w:eastAsia="Times New Roman" w:hAnsi="Arial" w:cs="Arial"/>
          <w:b/>
          <w:sz w:val="18"/>
          <w:szCs w:val="18"/>
          <w:lang w:val="es-BO" w:eastAsia="es-ES"/>
        </w:rPr>
      </w:pPr>
    </w:p>
    <w:p w:rsidR="00DA33C2" w:rsidRPr="00AD73DD" w:rsidRDefault="00DA33C2" w:rsidP="00AD73DD">
      <w:pPr>
        <w:pStyle w:val="Prrafodelista"/>
        <w:numPr>
          <w:ilvl w:val="1"/>
          <w:numId w:val="12"/>
        </w:numPr>
        <w:spacing w:after="120" w:line="276" w:lineRule="auto"/>
        <w:jc w:val="both"/>
        <w:rPr>
          <w:rFonts w:ascii="Arial" w:eastAsia="Times New Roman" w:hAnsi="Arial" w:cs="Arial"/>
          <w:b/>
          <w:sz w:val="18"/>
          <w:szCs w:val="18"/>
          <w:lang w:eastAsia="es-ES"/>
        </w:rPr>
      </w:pPr>
      <w:r w:rsidRPr="00AD73DD">
        <w:rPr>
          <w:rFonts w:ascii="Arial" w:eastAsia="Times New Roman" w:hAnsi="Arial" w:cs="Arial"/>
          <w:b/>
          <w:sz w:val="18"/>
          <w:szCs w:val="18"/>
          <w:lang w:eastAsia="es-ES"/>
        </w:rPr>
        <w:t>INTRODUCCION</w:t>
      </w:r>
    </w:p>
    <w:p w:rsidR="00DA33C2" w:rsidRPr="00AD73DD" w:rsidRDefault="00DA33C2"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La utilización de racks o estantería en el almacén, obedece a razones de eficiencia en espacio, por lo tanto, para este caso se exhorta a los almacenes a que se establezcan los límites y sistemas de almacenamiento en estructuras de estantería según los factores de espacio, altura y capacidad de elevación de los equipos montacargas.</w:t>
      </w:r>
    </w:p>
    <w:p w:rsidR="00DA33C2" w:rsidRPr="00AD73DD" w:rsidRDefault="00DA33C2"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 xml:space="preserve">Si se usan estantes para almacenaje y organización del producto, estos deberán estar estructuralmente en buen estado y mantenidos en buena condición operativa, de acuerdo con las especificaciones en la producción. </w:t>
      </w:r>
    </w:p>
    <w:p w:rsidR="00DA33C2" w:rsidRPr="00AD73DD" w:rsidRDefault="00DA33C2"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 xml:space="preserve">Las inspecciones documentadas de las estructuras de los estantes deben ser realizadas al menos una vez al mes; esta inspección debe incluir chequeo de los tornillos de suelo, soldaduras rotas, tramos estructurales torcidos o frenillos faltantes. Cuando se descubra que un estante está dañado, se deberá completar inmediatamente una evaluación que permita determinar su integridad estructural. Si se descubre que su integridad está comprometida, el estante deberá ser retirado en forma inmediata de servicio, bien sea para ser reparado o reemplazado. </w:t>
      </w:r>
    </w:p>
    <w:p w:rsidR="00DA33C2" w:rsidRPr="00AD73DD" w:rsidRDefault="00DA33C2" w:rsidP="00AD73DD">
      <w:pPr>
        <w:pStyle w:val="Prrafodelista"/>
        <w:numPr>
          <w:ilvl w:val="1"/>
          <w:numId w:val="12"/>
        </w:numPr>
        <w:spacing w:after="120" w:line="276" w:lineRule="auto"/>
        <w:jc w:val="both"/>
        <w:rPr>
          <w:rFonts w:ascii="Arial" w:eastAsia="Times New Roman" w:hAnsi="Arial" w:cs="Arial"/>
          <w:b/>
          <w:sz w:val="18"/>
          <w:szCs w:val="18"/>
          <w:lang w:eastAsia="es-ES"/>
        </w:rPr>
      </w:pPr>
      <w:r w:rsidRPr="00AD73DD">
        <w:rPr>
          <w:rFonts w:ascii="Arial" w:eastAsia="Times New Roman" w:hAnsi="Arial" w:cs="Arial"/>
          <w:sz w:val="18"/>
          <w:szCs w:val="18"/>
          <w:lang w:eastAsia="es-ES"/>
        </w:rPr>
        <w:t xml:space="preserve"> </w:t>
      </w:r>
      <w:r w:rsidRPr="00AD73DD">
        <w:rPr>
          <w:rFonts w:ascii="Arial" w:eastAsia="Times New Roman" w:hAnsi="Arial" w:cs="Arial"/>
          <w:b/>
          <w:sz w:val="18"/>
          <w:szCs w:val="18"/>
          <w:lang w:eastAsia="es-ES"/>
        </w:rPr>
        <w:t>ALMACENAMIENTO</w:t>
      </w:r>
    </w:p>
    <w:p w:rsidR="00DA33C2" w:rsidRPr="00AD73DD" w:rsidRDefault="00DA33C2" w:rsidP="00AD73DD">
      <w:pPr>
        <w:spacing w:after="120" w:line="276" w:lineRule="auto"/>
        <w:jc w:val="both"/>
        <w:rPr>
          <w:rFonts w:ascii="Arial" w:eastAsia="Times New Roman" w:hAnsi="Arial" w:cs="Arial"/>
          <w:sz w:val="18"/>
          <w:szCs w:val="18"/>
          <w:lang w:eastAsia="es-ES"/>
        </w:rPr>
      </w:pPr>
      <w:r w:rsidRPr="00AD73DD">
        <w:rPr>
          <w:rFonts w:ascii="Arial" w:eastAsia="Times New Roman" w:hAnsi="Arial" w:cs="Arial"/>
          <w:sz w:val="18"/>
          <w:szCs w:val="18"/>
          <w:lang w:eastAsia="es-ES"/>
        </w:rPr>
        <w:t xml:space="preserve"> Es necesario delimitar áreas según el tipo de almacenamiento a ser utilizado:</w:t>
      </w:r>
    </w:p>
    <w:p w:rsidR="00DA33C2" w:rsidRPr="00AD73DD" w:rsidRDefault="00DA33C2" w:rsidP="00AD73DD">
      <w:pPr>
        <w:pStyle w:val="Prrafodelista"/>
        <w:numPr>
          <w:ilvl w:val="0"/>
          <w:numId w:val="10"/>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 xml:space="preserve">Área de Racks para presentaciones de cajas o tambores: </w:t>
      </w:r>
    </w:p>
    <w:p w:rsidR="00DA33C2"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 xml:space="preserve">Se debe calcular o diseñar los racks en función de las necesidades reales de venta y almacenamiento de los distribuidores y tomando en cuenta el número de empaques y pesos de cada tipo de producto o paleta. </w:t>
      </w:r>
    </w:p>
    <w:p w:rsidR="00DA33C2"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La última posición del rack con respecto al producto debe tener como mínimo 1 metro de distancia como libre del techo. Pueden existir regulaciones locales que establecen estos parámetros, por lo que se sugiere adoptar estas medidas que prevalecen sobre cualquier recomendación.</w:t>
      </w:r>
    </w:p>
    <w:p w:rsidR="002E2CAF"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Se debe considerar el espacio que amerita la circulación del equipo de movilización de productos (Montacargas), com</w:t>
      </w:r>
      <w:r w:rsidR="002E2CAF" w:rsidRPr="00AD73DD">
        <w:rPr>
          <w:rFonts w:ascii="Arial" w:eastAsia="Times New Roman" w:hAnsi="Arial" w:cs="Arial"/>
          <w:sz w:val="18"/>
          <w:szCs w:val="18"/>
          <w:lang w:val="es-BO" w:eastAsia="es-ES"/>
        </w:rPr>
        <w:t>o mínimo 3.5 mts entre Racks.</w:t>
      </w:r>
    </w:p>
    <w:p w:rsidR="002E2CAF"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Los cuerpos de los Racks deberán estar sujetos o anclados al piso y a la pared.</w:t>
      </w:r>
    </w:p>
    <w:p w:rsidR="002E2CAF"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 xml:space="preserve">Las estructuras de Racks o Estanterías deben ser certificadas por el proveedor que las suministra según el tipo de producto a ser almacenado </w:t>
      </w:r>
      <w:r w:rsidR="002E2CAF" w:rsidRPr="00AD73DD">
        <w:rPr>
          <w:rFonts w:ascii="Arial" w:eastAsia="Times New Roman" w:hAnsi="Arial" w:cs="Arial"/>
          <w:sz w:val="18"/>
          <w:szCs w:val="18"/>
          <w:lang w:val="es-BO" w:eastAsia="es-ES"/>
        </w:rPr>
        <w:t xml:space="preserve">al momento de su instalación. </w:t>
      </w:r>
    </w:p>
    <w:p w:rsidR="00DA33C2" w:rsidRPr="00AD73DD" w:rsidRDefault="00DA33C2" w:rsidP="00AD73DD">
      <w:pPr>
        <w:pStyle w:val="Prrafodelista"/>
        <w:numPr>
          <w:ilvl w:val="1"/>
          <w:numId w:val="13"/>
        </w:numPr>
        <w:spacing w:after="120" w:line="276" w:lineRule="auto"/>
        <w:jc w:val="both"/>
        <w:rPr>
          <w:rFonts w:ascii="Arial" w:eastAsia="Times New Roman" w:hAnsi="Arial" w:cs="Arial"/>
          <w:sz w:val="18"/>
          <w:szCs w:val="18"/>
          <w:lang w:val="es-BO" w:eastAsia="es-ES"/>
        </w:rPr>
      </w:pPr>
      <w:r w:rsidRPr="00AD73DD">
        <w:rPr>
          <w:rFonts w:ascii="Arial" w:eastAsia="Times New Roman" w:hAnsi="Arial" w:cs="Arial"/>
          <w:sz w:val="18"/>
          <w:szCs w:val="18"/>
          <w:lang w:val="es-BO" w:eastAsia="es-ES"/>
        </w:rPr>
        <w:t xml:space="preserve">Se deben colocar barreras protectoras en las esquinas de racks para evitar que sean </w:t>
      </w:r>
      <w:bookmarkStart w:id="0" w:name="_GoBack"/>
      <w:r w:rsidRPr="00AD73DD">
        <w:rPr>
          <w:rFonts w:ascii="Arial" w:eastAsia="Times New Roman" w:hAnsi="Arial" w:cs="Arial"/>
          <w:sz w:val="18"/>
          <w:szCs w:val="18"/>
          <w:lang w:val="es-BO" w:eastAsia="es-ES"/>
        </w:rPr>
        <w:t xml:space="preserve">golpeados con los montacargas. • Se debe revisar la condición de la estructura de los Racks </w:t>
      </w:r>
      <w:bookmarkEnd w:id="0"/>
      <w:r w:rsidRPr="00AD73DD">
        <w:rPr>
          <w:rFonts w:ascii="Arial" w:eastAsia="Times New Roman" w:hAnsi="Arial" w:cs="Arial"/>
          <w:sz w:val="18"/>
          <w:szCs w:val="18"/>
          <w:lang w:val="es-BO" w:eastAsia="es-ES"/>
        </w:rPr>
        <w:t>anualmente, o como lo indique el proveedor del servicio, especialmente si han sufrido golpes.</w:t>
      </w:r>
    </w:p>
    <w:p w:rsidR="0098618D" w:rsidRDefault="0098618D" w:rsidP="00AD73DD">
      <w:pPr>
        <w:spacing w:line="276" w:lineRule="auto"/>
      </w:pPr>
    </w:p>
    <w:sectPr w:rsidR="0098618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CA4" w:rsidRDefault="00F95CA4" w:rsidP="00F95CA4">
      <w:pPr>
        <w:spacing w:after="0" w:line="240" w:lineRule="auto"/>
      </w:pPr>
      <w:r>
        <w:separator/>
      </w:r>
    </w:p>
  </w:endnote>
  <w:endnote w:type="continuationSeparator" w:id="0">
    <w:p w:rsidR="00F95CA4" w:rsidRDefault="00F95CA4" w:rsidP="00F95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CA4" w:rsidRDefault="00F95CA4" w:rsidP="00F95CA4">
      <w:pPr>
        <w:spacing w:after="0" w:line="240" w:lineRule="auto"/>
      </w:pPr>
      <w:r>
        <w:separator/>
      </w:r>
    </w:p>
  </w:footnote>
  <w:footnote w:type="continuationSeparator" w:id="0">
    <w:p w:rsidR="00F95CA4" w:rsidRDefault="00F95CA4" w:rsidP="00F95C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85A"/>
    <w:multiLevelType w:val="hybridMultilevel"/>
    <w:tmpl w:val="16D67D6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14303B5B"/>
    <w:multiLevelType w:val="multilevel"/>
    <w:tmpl w:val="0B78496C"/>
    <w:lvl w:ilvl="0">
      <w:start w:val="1"/>
      <w:numFmt w:val="decimal"/>
      <w:lvlText w:val="%1."/>
      <w:lvlJc w:val="lef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5E1078C"/>
    <w:multiLevelType w:val="hybridMultilevel"/>
    <w:tmpl w:val="11CC252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2B7429"/>
    <w:multiLevelType w:val="hybridMultilevel"/>
    <w:tmpl w:val="0E7C16B6"/>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6B57A45"/>
    <w:multiLevelType w:val="hybridMultilevel"/>
    <w:tmpl w:val="C5D4D376"/>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CA50F9"/>
    <w:multiLevelType w:val="hybridMultilevel"/>
    <w:tmpl w:val="86ECA6C6"/>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4AE905EF"/>
    <w:multiLevelType w:val="hybridMultilevel"/>
    <w:tmpl w:val="B8DA2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9D7638C"/>
    <w:multiLevelType w:val="hybridMultilevel"/>
    <w:tmpl w:val="58D42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1F54A61"/>
    <w:multiLevelType w:val="hybridMultilevel"/>
    <w:tmpl w:val="A97C7704"/>
    <w:lvl w:ilvl="0" w:tplc="6734B10A">
      <w:start w:val="1"/>
      <w:numFmt w:val="decimal"/>
      <w:lvlText w:val="%1."/>
      <w:lvlJc w:val="left"/>
      <w:pPr>
        <w:tabs>
          <w:tab w:val="num" w:pos="360"/>
        </w:tabs>
        <w:ind w:left="360" w:hanging="360"/>
      </w:pPr>
      <w:rPr>
        <w:rFonts w:hint="default"/>
      </w:rPr>
    </w:lvl>
    <w:lvl w:ilvl="1" w:tplc="745A3D3C">
      <w:numFmt w:val="none"/>
      <w:lvlText w:val=""/>
      <w:lvlJc w:val="left"/>
      <w:pPr>
        <w:tabs>
          <w:tab w:val="num" w:pos="360"/>
        </w:tabs>
      </w:pPr>
    </w:lvl>
    <w:lvl w:ilvl="2" w:tplc="A2983108">
      <w:numFmt w:val="none"/>
      <w:lvlText w:val=""/>
      <w:lvlJc w:val="left"/>
      <w:pPr>
        <w:tabs>
          <w:tab w:val="num" w:pos="360"/>
        </w:tabs>
      </w:pPr>
    </w:lvl>
    <w:lvl w:ilvl="3" w:tplc="5BA2EEB2">
      <w:numFmt w:val="none"/>
      <w:lvlText w:val=""/>
      <w:lvlJc w:val="left"/>
      <w:pPr>
        <w:tabs>
          <w:tab w:val="num" w:pos="360"/>
        </w:tabs>
      </w:pPr>
    </w:lvl>
    <w:lvl w:ilvl="4" w:tplc="B882FACE">
      <w:numFmt w:val="none"/>
      <w:lvlText w:val=""/>
      <w:lvlJc w:val="left"/>
      <w:pPr>
        <w:tabs>
          <w:tab w:val="num" w:pos="360"/>
        </w:tabs>
      </w:pPr>
    </w:lvl>
    <w:lvl w:ilvl="5" w:tplc="32B80BF6">
      <w:numFmt w:val="none"/>
      <w:lvlText w:val=""/>
      <w:lvlJc w:val="left"/>
      <w:pPr>
        <w:tabs>
          <w:tab w:val="num" w:pos="360"/>
        </w:tabs>
      </w:pPr>
    </w:lvl>
    <w:lvl w:ilvl="6" w:tplc="60CC0554">
      <w:numFmt w:val="none"/>
      <w:lvlText w:val=""/>
      <w:lvlJc w:val="left"/>
      <w:pPr>
        <w:tabs>
          <w:tab w:val="num" w:pos="360"/>
        </w:tabs>
      </w:pPr>
    </w:lvl>
    <w:lvl w:ilvl="7" w:tplc="B5B47196">
      <w:numFmt w:val="none"/>
      <w:lvlText w:val=""/>
      <w:lvlJc w:val="left"/>
      <w:pPr>
        <w:tabs>
          <w:tab w:val="num" w:pos="360"/>
        </w:tabs>
      </w:pPr>
    </w:lvl>
    <w:lvl w:ilvl="8" w:tplc="FE0CB454">
      <w:numFmt w:val="none"/>
      <w:lvlText w:val=""/>
      <w:lvlJc w:val="left"/>
      <w:pPr>
        <w:tabs>
          <w:tab w:val="num" w:pos="360"/>
        </w:tabs>
      </w:pPr>
    </w:lvl>
  </w:abstractNum>
  <w:abstractNum w:abstractNumId="9" w15:restartNumberingAfterBreak="0">
    <w:nsid w:val="627F6DFC"/>
    <w:multiLevelType w:val="hybridMultilevel"/>
    <w:tmpl w:val="7BD07F36"/>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6E742C39"/>
    <w:multiLevelType w:val="hybridMultilevel"/>
    <w:tmpl w:val="E1867C4E"/>
    <w:lvl w:ilvl="0" w:tplc="DF2AE280">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C451D7"/>
    <w:multiLevelType w:val="hybridMultilevel"/>
    <w:tmpl w:val="450088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CAF072B"/>
    <w:multiLevelType w:val="hybridMultilevel"/>
    <w:tmpl w:val="733AE31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3"/>
  </w:num>
  <w:num w:numId="3">
    <w:abstractNumId w:val="12"/>
  </w:num>
  <w:num w:numId="4">
    <w:abstractNumId w:val="2"/>
  </w:num>
  <w:num w:numId="5">
    <w:abstractNumId w:val="6"/>
  </w:num>
  <w:num w:numId="6">
    <w:abstractNumId w:val="10"/>
  </w:num>
  <w:num w:numId="7">
    <w:abstractNumId w:val="11"/>
  </w:num>
  <w:num w:numId="8">
    <w:abstractNumId w:val="4"/>
  </w:num>
  <w:num w:numId="9">
    <w:abstractNumId w:val="7"/>
  </w:num>
  <w:num w:numId="10">
    <w:abstractNumId w:val="5"/>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A4"/>
    <w:rsid w:val="001F51E4"/>
    <w:rsid w:val="002148FE"/>
    <w:rsid w:val="002E2CAF"/>
    <w:rsid w:val="0098618D"/>
    <w:rsid w:val="00A001D0"/>
    <w:rsid w:val="00AD73DD"/>
    <w:rsid w:val="00D8205F"/>
    <w:rsid w:val="00DA33C2"/>
    <w:rsid w:val="00F95CA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B374"/>
  <w15:chartTrackingRefBased/>
  <w15:docId w15:val="{E42D99B6-09A7-4D6A-B900-4E8A8D84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rsid w:val="00F95CA4"/>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F95CA4"/>
    <w:rPr>
      <w:rFonts w:ascii="Times New Roman" w:eastAsia="Times New Roman" w:hAnsi="Times New Roman" w:cs="Times New Roman"/>
      <w:sz w:val="20"/>
      <w:szCs w:val="20"/>
      <w:lang w:val="es-ES" w:eastAsia="es-ES"/>
    </w:rPr>
  </w:style>
  <w:style w:type="character" w:styleId="Refdenotaalpie">
    <w:name w:val="footnote reference"/>
    <w:rsid w:val="00F95CA4"/>
    <w:rPr>
      <w:vertAlign w:val="superscript"/>
    </w:rPr>
  </w:style>
  <w:style w:type="paragraph" w:styleId="Prrafodelista">
    <w:name w:val="List Paragraph"/>
    <w:basedOn w:val="Normal"/>
    <w:uiPriority w:val="34"/>
    <w:qFormat/>
    <w:rsid w:val="00DA33C2"/>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444</Words>
  <Characters>2442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Fernando Suntura Mendoza</dc:creator>
  <cp:keywords/>
  <dc:description/>
  <cp:lastModifiedBy>Geraldine Iriarte Rodriguez</cp:lastModifiedBy>
  <cp:revision>6</cp:revision>
  <dcterms:created xsi:type="dcterms:W3CDTF">2018-05-29T14:23:00Z</dcterms:created>
  <dcterms:modified xsi:type="dcterms:W3CDTF">2023-03-13T17:57:00Z</dcterms:modified>
</cp:coreProperties>
</file>